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14EC" w14:textId="77777777" w:rsidR="00FF7FD9" w:rsidRDefault="00FF7FD9" w:rsidP="00FF7FD9">
      <w:pPr>
        <w:spacing w:after="0"/>
        <w:jc w:val="both"/>
        <w:rPr>
          <w:rFonts w:ascii="Times New Roman" w:hAnsi="Times New Roman" w:cs="Times New Roman"/>
          <w:b/>
          <w:sz w:val="20"/>
          <w:szCs w:val="20"/>
        </w:rPr>
      </w:pPr>
      <w:r w:rsidRPr="00FF7FD9">
        <w:rPr>
          <w:rFonts w:ascii="Times New Roman" w:hAnsi="Times New Roman" w:cs="Times New Roman"/>
          <w:b/>
          <w:sz w:val="20"/>
          <w:szCs w:val="20"/>
          <w:highlight w:val="lightGray"/>
        </w:rPr>
        <w:t>ФИО переводчика</w:t>
      </w:r>
      <w:r w:rsidRPr="00FF7FD9">
        <w:rPr>
          <w:rFonts w:ascii="Times New Roman" w:hAnsi="Times New Roman" w:cs="Times New Roman"/>
          <w:b/>
          <w:sz w:val="20"/>
          <w:szCs w:val="20"/>
        </w:rPr>
        <w:t xml:space="preserve">: </w:t>
      </w:r>
    </w:p>
    <w:p w14:paraId="15656B51" w14:textId="77777777" w:rsidR="00FF7FD9" w:rsidRPr="00FF7FD9" w:rsidRDefault="00FF7FD9" w:rsidP="00FF7FD9">
      <w:pPr>
        <w:spacing w:after="0"/>
        <w:jc w:val="both"/>
        <w:rPr>
          <w:rFonts w:ascii="Times New Roman" w:hAnsi="Times New Roman" w:cs="Times New Roman"/>
          <w:b/>
          <w:sz w:val="20"/>
          <w:szCs w:val="20"/>
          <w:lang w:val="en-US"/>
        </w:rPr>
      </w:pPr>
      <w:r w:rsidRPr="00FF7FD9">
        <w:rPr>
          <w:rFonts w:ascii="Times New Roman" w:hAnsi="Times New Roman" w:cs="Times New Roman"/>
          <w:b/>
          <w:sz w:val="20"/>
          <w:szCs w:val="20"/>
          <w:highlight w:val="lightGray"/>
        </w:rPr>
        <w:t>E-mail</w:t>
      </w:r>
      <w:r>
        <w:rPr>
          <w:rFonts w:ascii="Times New Roman" w:hAnsi="Times New Roman" w:cs="Times New Roman"/>
          <w:b/>
          <w:sz w:val="20"/>
          <w:szCs w:val="20"/>
        </w:rPr>
        <w:t>:</w:t>
      </w:r>
    </w:p>
    <w:p w14:paraId="6ED2C423" w14:textId="77777777" w:rsidR="00FF7FD9" w:rsidRPr="00FF7FD9" w:rsidRDefault="00FF7FD9" w:rsidP="00FF7FD9">
      <w:pPr>
        <w:spacing w:after="0"/>
        <w:jc w:val="both"/>
        <w:rPr>
          <w:rFonts w:ascii="Times New Roman" w:hAnsi="Times New Roman" w:cs="Times New Roman"/>
          <w:b/>
          <w:sz w:val="20"/>
          <w:szCs w:val="20"/>
        </w:rPr>
      </w:pPr>
      <w:r w:rsidRPr="00FF7FD9">
        <w:rPr>
          <w:rFonts w:ascii="Times New Roman" w:hAnsi="Times New Roman" w:cs="Times New Roman"/>
          <w:b/>
          <w:sz w:val="20"/>
          <w:szCs w:val="20"/>
          <w:highlight w:val="lightGray"/>
        </w:rPr>
        <w:t>Дата выполнения перевода</w:t>
      </w:r>
      <w:r>
        <w:rPr>
          <w:rFonts w:ascii="Times New Roman" w:hAnsi="Times New Roman" w:cs="Times New Roman"/>
          <w:b/>
          <w:sz w:val="20"/>
          <w:szCs w:val="20"/>
        </w:rPr>
        <w:t>:</w:t>
      </w:r>
    </w:p>
    <w:p w14:paraId="26BB5805" w14:textId="77777777" w:rsidR="00FF7FD9" w:rsidRPr="00FF7FD9" w:rsidRDefault="00FF7FD9" w:rsidP="00864586">
      <w:pPr>
        <w:jc w:val="both"/>
        <w:rPr>
          <w:rFonts w:ascii="Times New Roman" w:hAnsi="Times New Roman" w:cs="Times New Roman"/>
          <w:b/>
          <w:color w:val="FF0000"/>
          <w:sz w:val="20"/>
          <w:szCs w:val="20"/>
          <w:lang w:val="en-US"/>
        </w:rPr>
      </w:pPr>
      <w:r>
        <w:rPr>
          <w:rFonts w:ascii="Times New Roman" w:hAnsi="Times New Roman" w:cs="Times New Roman"/>
          <w:b/>
          <w:sz w:val="20"/>
          <w:szCs w:val="20"/>
          <w:lang w:val="en-US"/>
        </w:rPr>
        <w:br/>
      </w:r>
      <w:r w:rsidRPr="00FF7FD9">
        <w:rPr>
          <w:rFonts w:ascii="Times New Roman" w:hAnsi="Times New Roman" w:cs="Times New Roman"/>
          <w:b/>
          <w:color w:val="FF0000"/>
          <w:sz w:val="20"/>
          <w:szCs w:val="20"/>
          <w:lang w:val="en-US"/>
        </w:rPr>
        <w:t>Please, put your translation in the right-hand column.</w:t>
      </w:r>
    </w:p>
    <w:tbl>
      <w:tblPr>
        <w:tblStyle w:val="TableGrid"/>
        <w:tblW w:w="10740" w:type="dxa"/>
        <w:tblLook w:val="04A0" w:firstRow="1" w:lastRow="0" w:firstColumn="1" w:lastColumn="0" w:noHBand="0" w:noVBand="1"/>
      </w:tblPr>
      <w:tblGrid>
        <w:gridCol w:w="4785"/>
        <w:gridCol w:w="5955"/>
      </w:tblGrid>
      <w:tr w:rsidR="00FF7FD9" w14:paraId="254A998C" w14:textId="77777777" w:rsidTr="00864586">
        <w:tc>
          <w:tcPr>
            <w:tcW w:w="4785" w:type="dxa"/>
          </w:tcPr>
          <w:p w14:paraId="7C2C8178" w14:textId="77777777" w:rsidR="00FF7FD9" w:rsidRPr="00FF7FD9" w:rsidRDefault="00FF7FD9" w:rsidP="00FF7FD9">
            <w:pPr>
              <w:jc w:val="center"/>
              <w:rPr>
                <w:rFonts w:ascii="Times New Roman" w:hAnsi="Times New Roman" w:cs="Times New Roman"/>
                <w:b/>
                <w:sz w:val="20"/>
                <w:szCs w:val="20"/>
                <w:lang w:val="en-US"/>
              </w:rPr>
            </w:pPr>
            <w:r w:rsidRPr="00FF7FD9">
              <w:rPr>
                <w:rFonts w:ascii="Times New Roman" w:hAnsi="Times New Roman" w:cs="Times New Roman"/>
                <w:b/>
                <w:sz w:val="20"/>
                <w:szCs w:val="20"/>
                <w:lang w:val="en-US"/>
              </w:rPr>
              <w:t>SOURCE</w:t>
            </w:r>
          </w:p>
        </w:tc>
        <w:tc>
          <w:tcPr>
            <w:tcW w:w="5955" w:type="dxa"/>
          </w:tcPr>
          <w:p w14:paraId="526FC7A3" w14:textId="77777777" w:rsidR="00FF7FD9" w:rsidRPr="00FF7FD9" w:rsidRDefault="00FF7FD9" w:rsidP="00FF7FD9">
            <w:pPr>
              <w:jc w:val="center"/>
              <w:rPr>
                <w:rFonts w:ascii="Times New Roman" w:hAnsi="Times New Roman" w:cs="Times New Roman"/>
                <w:b/>
                <w:sz w:val="20"/>
                <w:szCs w:val="20"/>
                <w:lang w:val="en-US"/>
              </w:rPr>
            </w:pPr>
            <w:r w:rsidRPr="00FF7FD9">
              <w:rPr>
                <w:rFonts w:ascii="Times New Roman" w:hAnsi="Times New Roman" w:cs="Times New Roman"/>
                <w:b/>
                <w:sz w:val="20"/>
                <w:szCs w:val="20"/>
                <w:lang w:val="en-US"/>
              </w:rPr>
              <w:t>TARGET (</w:t>
            </w:r>
            <w:r w:rsidRPr="00FF7FD9">
              <w:rPr>
                <w:rFonts w:ascii="Times New Roman" w:hAnsi="Times New Roman" w:cs="Times New Roman"/>
                <w:b/>
                <w:color w:val="FF0000"/>
                <w:sz w:val="20"/>
                <w:szCs w:val="20"/>
                <w:lang w:val="en-US"/>
              </w:rPr>
              <w:t>RUSSIAN</w:t>
            </w:r>
            <w:r w:rsidRPr="00FF7FD9">
              <w:rPr>
                <w:rFonts w:ascii="Times New Roman" w:hAnsi="Times New Roman" w:cs="Times New Roman"/>
                <w:b/>
                <w:sz w:val="20"/>
                <w:szCs w:val="20"/>
                <w:lang w:val="en-US"/>
              </w:rPr>
              <w:t>)</w:t>
            </w:r>
          </w:p>
        </w:tc>
      </w:tr>
      <w:tr w:rsidR="00FF7FD9" w14:paraId="1B35D50F" w14:textId="77777777" w:rsidTr="006E0399">
        <w:trPr>
          <w:trHeight w:val="1337"/>
        </w:trPr>
        <w:tc>
          <w:tcPr>
            <w:tcW w:w="4785" w:type="dxa"/>
          </w:tcPr>
          <w:p w14:paraId="034006DE" w14:textId="675C1B60" w:rsidR="00FF7FD9" w:rsidRPr="00FF7FD9" w:rsidRDefault="00FF7FD9" w:rsidP="00FF7FD9">
            <w:pPr>
              <w:rPr>
                <w:rFonts w:ascii="Times New Roman" w:hAnsi="Times New Roman" w:cs="Times New Roman"/>
                <w:b/>
                <w:sz w:val="20"/>
                <w:szCs w:val="20"/>
                <w:u w:val="single"/>
                <w:lang w:val="en-US"/>
              </w:rPr>
            </w:pPr>
            <w:r w:rsidRPr="00FF7FD9">
              <w:rPr>
                <w:rFonts w:ascii="Times New Roman" w:hAnsi="Times New Roman" w:cs="Times New Roman"/>
                <w:sz w:val="20"/>
                <w:szCs w:val="20"/>
                <w:u w:val="single"/>
                <w:lang w:val="en-US"/>
              </w:rPr>
              <w:t>Order of Precedence.</w:t>
            </w:r>
            <w:r w:rsidRPr="00FF7FD9">
              <w:rPr>
                <w:rFonts w:ascii="Times New Roman" w:hAnsi="Times New Roman" w:cs="Times New Roman"/>
                <w:sz w:val="20"/>
                <w:szCs w:val="20"/>
                <w:lang w:val="en-US"/>
              </w:rPr>
              <w:t xml:space="preserve">  In the event of any inconsistencies between: (i) the agreement and this ordering document, this ordering document shall take precedence; and (ii) this ordering document (excluding exhibits) and any attached exhibits, the exhibits shall take precedence</w:t>
            </w:r>
            <w:bookmarkStart w:id="0" w:name="_GoBack"/>
            <w:bookmarkEnd w:id="0"/>
            <w:r w:rsidRPr="00FF7FD9">
              <w:rPr>
                <w:rFonts w:ascii="Times New Roman" w:hAnsi="Times New Roman" w:cs="Times New Roman"/>
                <w:sz w:val="20"/>
                <w:szCs w:val="20"/>
                <w:lang w:val="en-US"/>
              </w:rPr>
              <w:t>.</w:t>
            </w:r>
          </w:p>
        </w:tc>
        <w:tc>
          <w:tcPr>
            <w:tcW w:w="5955" w:type="dxa"/>
          </w:tcPr>
          <w:p w14:paraId="4A543303" w14:textId="77777777" w:rsidR="00FF7FD9" w:rsidRPr="00FF7FD9" w:rsidRDefault="00FF7FD9" w:rsidP="00FF7FD9">
            <w:pPr>
              <w:jc w:val="center"/>
              <w:rPr>
                <w:rFonts w:ascii="Times New Roman" w:hAnsi="Times New Roman" w:cs="Times New Roman"/>
                <w:b/>
                <w:sz w:val="20"/>
                <w:szCs w:val="20"/>
                <w:u w:val="single"/>
                <w:lang w:val="en-US"/>
              </w:rPr>
            </w:pPr>
          </w:p>
        </w:tc>
      </w:tr>
      <w:tr w:rsidR="006E0399" w14:paraId="3D48BED7" w14:textId="77777777" w:rsidTr="006E0399">
        <w:trPr>
          <w:trHeight w:val="2403"/>
        </w:trPr>
        <w:tc>
          <w:tcPr>
            <w:tcW w:w="4785" w:type="dxa"/>
          </w:tcPr>
          <w:p w14:paraId="44F40B11" w14:textId="6A899B9D" w:rsidR="006E0399" w:rsidRPr="006E0399" w:rsidRDefault="006E0399" w:rsidP="00FF7FD9">
            <w:pPr>
              <w:rPr>
                <w:rFonts w:ascii="Times New Roman" w:hAnsi="Times New Roman" w:cs="Times New Roman"/>
                <w:sz w:val="20"/>
                <w:szCs w:val="20"/>
                <w:lang w:val="en-US"/>
              </w:rPr>
            </w:pPr>
            <w:r w:rsidRPr="00FF7FD9">
              <w:rPr>
                <w:rFonts w:ascii="Times New Roman" w:hAnsi="Times New Roman" w:cs="Times New Roman"/>
                <w:sz w:val="20"/>
                <w:szCs w:val="20"/>
                <w:u w:val="single"/>
                <w:lang w:val="en-US"/>
              </w:rPr>
              <w:t>Change Control Process.</w:t>
            </w:r>
            <w:r w:rsidRPr="00FF7FD9">
              <w:rPr>
                <w:rFonts w:ascii="Times New Roman" w:hAnsi="Times New Roman" w:cs="Times New Roman"/>
                <w:sz w:val="20"/>
                <w:szCs w:val="20"/>
                <w:lang w:val="en-US"/>
              </w:rPr>
              <w:t xml:space="preserve">  Any request for any change in services must be in writing; this includes requests for changes in project plans, scope, specifications, schedule, designs, requirements, service deliverables, software environment or any other aspect of your order.  Oracle shall not be obligated to perform tasks related to changes in time, scope, cost or contractual obligations until you and Oracle agree in writing to the proposed change in an amendment to this ordering document and/or applicable exhibits.</w:t>
            </w:r>
          </w:p>
        </w:tc>
        <w:tc>
          <w:tcPr>
            <w:tcW w:w="5955" w:type="dxa"/>
          </w:tcPr>
          <w:p w14:paraId="61596371" w14:textId="77777777" w:rsidR="006E0399" w:rsidRPr="00FF7FD9" w:rsidRDefault="006E0399" w:rsidP="00FF7FD9">
            <w:pPr>
              <w:jc w:val="center"/>
              <w:rPr>
                <w:rFonts w:ascii="Times New Roman" w:hAnsi="Times New Roman" w:cs="Times New Roman"/>
                <w:b/>
                <w:sz w:val="20"/>
                <w:szCs w:val="20"/>
                <w:u w:val="single"/>
                <w:lang w:val="en-US"/>
              </w:rPr>
            </w:pPr>
          </w:p>
        </w:tc>
      </w:tr>
      <w:tr w:rsidR="006E0399" w14:paraId="1D8F5F07" w14:textId="77777777" w:rsidTr="006E0399">
        <w:trPr>
          <w:trHeight w:val="2399"/>
        </w:trPr>
        <w:tc>
          <w:tcPr>
            <w:tcW w:w="4785" w:type="dxa"/>
          </w:tcPr>
          <w:p w14:paraId="67F1427C" w14:textId="3C23BBF0" w:rsidR="006E0399" w:rsidRPr="00FF7FD9" w:rsidRDefault="006E0399" w:rsidP="00FF7FD9">
            <w:pPr>
              <w:rPr>
                <w:rFonts w:ascii="Times New Roman" w:hAnsi="Times New Roman" w:cs="Times New Roman"/>
                <w:sz w:val="20"/>
                <w:szCs w:val="20"/>
                <w:lang w:val="en-US"/>
              </w:rPr>
            </w:pPr>
            <w:r w:rsidRPr="00FF7FD9">
              <w:rPr>
                <w:rFonts w:ascii="Times New Roman" w:hAnsi="Times New Roman" w:cs="Times New Roman"/>
                <w:sz w:val="20"/>
                <w:szCs w:val="20"/>
                <w:u w:val="single"/>
                <w:lang w:val="en-US"/>
              </w:rPr>
              <w:t>Relationship Between Parties.</w:t>
            </w:r>
            <w:r w:rsidRPr="00FF7FD9">
              <w:rPr>
                <w:rFonts w:ascii="Times New Roman" w:hAnsi="Times New Roman" w:cs="Times New Roman"/>
                <w:sz w:val="20"/>
                <w:szCs w:val="20"/>
                <w:lang w:val="en-US"/>
              </w:rPr>
              <w:t xml:space="preserve"> Oracle is an independent contractor and we agree that no partnership, joint venture, or agency relationship exists between us.  We each will be responsible for paying our own employees, including employment related taxes and insurance.  If while performing services Oracle requires access to other vendor’s products that are part of your system, you will be responsible for acquiring all such products and the appropriate license rights necessary for Oracle to access such products on your behalf.</w:t>
            </w:r>
          </w:p>
        </w:tc>
        <w:tc>
          <w:tcPr>
            <w:tcW w:w="5955" w:type="dxa"/>
          </w:tcPr>
          <w:p w14:paraId="2D908D74" w14:textId="77777777" w:rsidR="006E0399" w:rsidRPr="00FF7FD9" w:rsidRDefault="006E0399" w:rsidP="00FF7FD9">
            <w:pPr>
              <w:jc w:val="center"/>
              <w:rPr>
                <w:rFonts w:ascii="Times New Roman" w:hAnsi="Times New Roman" w:cs="Times New Roman"/>
                <w:b/>
                <w:sz w:val="20"/>
                <w:szCs w:val="20"/>
                <w:u w:val="single"/>
                <w:lang w:val="en-US"/>
              </w:rPr>
            </w:pPr>
          </w:p>
        </w:tc>
      </w:tr>
      <w:tr w:rsidR="006E0399" w14:paraId="360B8FE9" w14:textId="77777777" w:rsidTr="006E0399">
        <w:trPr>
          <w:trHeight w:val="3250"/>
        </w:trPr>
        <w:tc>
          <w:tcPr>
            <w:tcW w:w="4785" w:type="dxa"/>
          </w:tcPr>
          <w:p w14:paraId="6E0DF61B" w14:textId="29E1030D" w:rsidR="006E0399" w:rsidRPr="00FF7FD9" w:rsidRDefault="006E0399" w:rsidP="00FF7FD9">
            <w:pPr>
              <w:rPr>
                <w:rFonts w:ascii="Times New Roman" w:hAnsi="Times New Roman" w:cs="Times New Roman"/>
                <w:sz w:val="20"/>
                <w:szCs w:val="20"/>
                <w:u w:val="single"/>
                <w:lang w:val="en-US"/>
              </w:rPr>
            </w:pPr>
            <w:r w:rsidRPr="00FF7FD9">
              <w:rPr>
                <w:rFonts w:ascii="Times New Roman" w:hAnsi="Times New Roman" w:cs="Times New Roman"/>
                <w:sz w:val="20"/>
                <w:szCs w:val="20"/>
                <w:u w:val="single"/>
                <w:lang w:val="en-US"/>
              </w:rPr>
              <w:t>Rights Granted.</w:t>
            </w:r>
            <w:r w:rsidRPr="00FF7FD9">
              <w:rPr>
                <w:rFonts w:ascii="Times New Roman" w:hAnsi="Times New Roman" w:cs="Times New Roman"/>
                <w:sz w:val="20"/>
                <w:szCs w:val="20"/>
                <w:lang w:val="en-US"/>
              </w:rPr>
              <w:t xml:space="preserve"> Upon payment for services </w:t>
            </w:r>
            <w:r w:rsidRPr="00FF7FD9">
              <w:rPr>
                <w:rFonts w:ascii="Times New Roman" w:hAnsi="Times New Roman" w:cs="Times New Roman"/>
                <w:spacing w:val="-3"/>
                <w:sz w:val="20"/>
                <w:szCs w:val="20"/>
                <w:lang w:val="en-US"/>
              </w:rPr>
              <w:t>you have the non-exclusive, non-assignable, royalty free, perpetual, limited right to use for your internal business operations, anything developed by Oracle and delivered to you under this ordering document.  You may allow your agents and contractors (including, without limitation, outsourcers) to use the deliverables for this purpose and you are responsible for their compliance with this ordering document in such use.  For anything developed or delivered under this ordering document that is specifically designed to allow your customers and suppliers to interact with you in the furtherance of your internal business operations, such use is allowed under this ordering document.</w:t>
            </w:r>
          </w:p>
        </w:tc>
        <w:tc>
          <w:tcPr>
            <w:tcW w:w="5955" w:type="dxa"/>
          </w:tcPr>
          <w:p w14:paraId="28A75243" w14:textId="77777777" w:rsidR="006E0399" w:rsidRPr="00FF7FD9" w:rsidRDefault="006E0399" w:rsidP="00FF7FD9">
            <w:pPr>
              <w:jc w:val="center"/>
              <w:rPr>
                <w:rFonts w:ascii="Times New Roman" w:hAnsi="Times New Roman" w:cs="Times New Roman"/>
                <w:b/>
                <w:sz w:val="20"/>
                <w:szCs w:val="20"/>
                <w:u w:val="single"/>
                <w:lang w:val="en-US"/>
              </w:rPr>
            </w:pPr>
          </w:p>
        </w:tc>
      </w:tr>
    </w:tbl>
    <w:p w14:paraId="7B3B5831" w14:textId="77777777" w:rsidR="00FF7FD9" w:rsidRDefault="00FF7FD9" w:rsidP="00FF7FD9">
      <w:pPr>
        <w:jc w:val="both"/>
        <w:rPr>
          <w:rFonts w:ascii="Times New Roman" w:hAnsi="Times New Roman" w:cs="Times New Roman"/>
          <w:sz w:val="20"/>
          <w:szCs w:val="20"/>
          <w:u w:val="single"/>
        </w:rPr>
      </w:pPr>
    </w:p>
    <w:p w14:paraId="2EB35566" w14:textId="77777777" w:rsidR="00FF7FD9" w:rsidRDefault="00FF7FD9" w:rsidP="00FF7FD9">
      <w:pPr>
        <w:jc w:val="both"/>
        <w:rPr>
          <w:rFonts w:ascii="Times New Roman" w:hAnsi="Times New Roman" w:cs="Times New Roman"/>
          <w:sz w:val="20"/>
          <w:szCs w:val="20"/>
          <w:u w:val="single"/>
        </w:rPr>
      </w:pPr>
    </w:p>
    <w:p w14:paraId="30DFFECD" w14:textId="77777777" w:rsidR="00FF7FD9" w:rsidRDefault="00FF7FD9" w:rsidP="00FF7FD9">
      <w:pPr>
        <w:jc w:val="both"/>
        <w:rPr>
          <w:rFonts w:ascii="Times New Roman" w:hAnsi="Times New Roman" w:cs="Times New Roman"/>
          <w:sz w:val="20"/>
          <w:szCs w:val="20"/>
          <w:u w:val="single"/>
        </w:rPr>
      </w:pPr>
    </w:p>
    <w:p w14:paraId="1C3EC2A9" w14:textId="77777777" w:rsidR="00015788" w:rsidRPr="00FF7FD9" w:rsidRDefault="00015788" w:rsidP="00FF7FD9">
      <w:pPr>
        <w:jc w:val="both"/>
        <w:rPr>
          <w:rFonts w:ascii="Times New Roman" w:hAnsi="Times New Roman" w:cs="Times New Roman"/>
          <w:b/>
          <w:bCs/>
          <w:sz w:val="20"/>
          <w:szCs w:val="20"/>
        </w:rPr>
      </w:pPr>
    </w:p>
    <w:sectPr w:rsidR="00015788" w:rsidRPr="00FF7FD9" w:rsidSect="00864586">
      <w:headerReference w:type="default" r:id="rId8"/>
      <w:pgSz w:w="11906" w:h="16838"/>
      <w:pgMar w:top="709" w:right="566" w:bottom="426" w:left="851"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36F1B" w14:textId="77777777" w:rsidR="00FF7FD9" w:rsidRDefault="00FF7FD9" w:rsidP="00FF7FD9">
      <w:pPr>
        <w:spacing w:after="0" w:line="240" w:lineRule="auto"/>
      </w:pPr>
      <w:r>
        <w:separator/>
      </w:r>
    </w:p>
  </w:endnote>
  <w:endnote w:type="continuationSeparator" w:id="0">
    <w:p w14:paraId="4B266531" w14:textId="77777777" w:rsidR="00FF7FD9" w:rsidRDefault="00FF7FD9" w:rsidP="00FF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aavi">
    <w:panose1 w:val="00000000000000000000"/>
    <w:charset w:val="01"/>
    <w:family w:val="roman"/>
    <w:notTrueType/>
    <w:pitch w:val="variable"/>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8C1C" w14:textId="77777777" w:rsidR="00FF7FD9" w:rsidRDefault="00FF7FD9" w:rsidP="00FF7FD9">
      <w:pPr>
        <w:spacing w:after="0" w:line="240" w:lineRule="auto"/>
      </w:pPr>
      <w:r>
        <w:separator/>
      </w:r>
    </w:p>
  </w:footnote>
  <w:footnote w:type="continuationSeparator" w:id="0">
    <w:p w14:paraId="4D2F6A90" w14:textId="77777777" w:rsidR="00FF7FD9" w:rsidRDefault="00FF7FD9" w:rsidP="00FF7F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9E59" w14:textId="77777777" w:rsidR="00FF7FD9" w:rsidRPr="00FF7FD9" w:rsidRDefault="00FF7FD9">
    <w:pPr>
      <w:pStyle w:val="Header"/>
      <w:rPr>
        <w:b/>
        <w:color w:val="4F81BD" w:themeColor="accent1"/>
      </w:rPr>
    </w:pPr>
    <w:r w:rsidRPr="00FF7FD9">
      <w:rPr>
        <w:b/>
        <w:color w:val="4F81BD" w:themeColor="accent1"/>
      </w:rPr>
      <w:t>INTELLEX – Oracle Test Translation / August, 2017</w:t>
    </w:r>
    <w:r>
      <w:rPr>
        <w:b/>
        <w:color w:val="4F81BD" w:themeColor="accent1"/>
      </w:rPr>
      <w:tab/>
    </w:r>
    <w:r>
      <w:rPr>
        <w:b/>
        <w:color w:val="4F81BD" w:themeColor="accent1"/>
      </w:rPr>
      <w:tab/>
      <w:t>Page 1 of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30CA"/>
    <w:multiLevelType w:val="hybridMultilevel"/>
    <w:tmpl w:val="0E869E96"/>
    <w:lvl w:ilvl="0" w:tplc="B9965060">
      <w:start w:val="1"/>
      <w:numFmt w:val="decimal"/>
      <w:lvlText w:val="%1."/>
      <w:lvlJc w:val="left"/>
      <w:pPr>
        <w:ind w:left="726" w:hanging="360"/>
      </w:pPr>
      <w:rPr>
        <w:b w:val="0"/>
        <w:i w:val="0"/>
        <w:sz w:val="20"/>
        <w:szCs w:val="2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876"/>
    <w:rsid w:val="00015788"/>
    <w:rsid w:val="000478F9"/>
    <w:rsid w:val="00193408"/>
    <w:rsid w:val="001F396C"/>
    <w:rsid w:val="002E6FC1"/>
    <w:rsid w:val="004664D7"/>
    <w:rsid w:val="005B09CD"/>
    <w:rsid w:val="005D776E"/>
    <w:rsid w:val="006E0399"/>
    <w:rsid w:val="007A1FB9"/>
    <w:rsid w:val="00864586"/>
    <w:rsid w:val="008C6057"/>
    <w:rsid w:val="00916BA3"/>
    <w:rsid w:val="00A57143"/>
    <w:rsid w:val="00BA2E9F"/>
    <w:rsid w:val="00D577D5"/>
    <w:rsid w:val="00D578E0"/>
    <w:rsid w:val="00DE1876"/>
    <w:rsid w:val="00E922EF"/>
    <w:rsid w:val="00FF7FD9"/>
  </w:rsids>
  <m:mathPr>
    <m:mathFont m:val="Cambria Math"/>
    <m:brkBin m:val="before"/>
    <m:brkBinSub m:val="--"/>
    <m:smallFrac m:val="0"/>
    <m:dispDef/>
    <m:lMargin m:val="0"/>
    <m:rMargin m:val="0"/>
    <m:defJc m:val="centerGroup"/>
    <m:wrapIndent m:val="1440"/>
    <m:intLim m:val="subSup"/>
    <m:naryLim m:val="undOvr"/>
  </m:mathPr>
  <w:themeFontLang w:val="ru-RU"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8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1876"/>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E1876"/>
    <w:rPr>
      <w:rFonts w:ascii="Times New Roman" w:eastAsia="Times New Roman" w:hAnsi="Times New Roman" w:cs="Times New Roman"/>
      <w:sz w:val="20"/>
      <w:szCs w:val="20"/>
      <w:lang w:val="en-US"/>
    </w:rPr>
  </w:style>
  <w:style w:type="paragraph" w:styleId="BodyText2">
    <w:name w:val="Body Text 2"/>
    <w:basedOn w:val="Normal"/>
    <w:link w:val="BodyText2Char"/>
    <w:rsid w:val="00DE1876"/>
    <w:pPr>
      <w:overflowPunct w:val="0"/>
      <w:autoSpaceDE w:val="0"/>
      <w:autoSpaceDN w:val="0"/>
      <w:adjustRightInd w:val="0"/>
      <w:spacing w:after="0" w:line="240" w:lineRule="auto"/>
      <w:textAlignment w:val="baseline"/>
    </w:pPr>
    <w:rPr>
      <w:rFonts w:ascii="Times New Roman" w:eastAsia="Times New Roman" w:hAnsi="Times New Roman" w:cs="Times New Roman"/>
      <w:i/>
      <w:sz w:val="20"/>
      <w:szCs w:val="20"/>
      <w:lang w:val="en-US"/>
    </w:rPr>
  </w:style>
  <w:style w:type="character" w:customStyle="1" w:styleId="BodyText2Char">
    <w:name w:val="Body Text 2 Char"/>
    <w:basedOn w:val="DefaultParagraphFont"/>
    <w:link w:val="BodyText2"/>
    <w:rsid w:val="00DE187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DE1876"/>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FF7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F7F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F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1866</Characters>
  <Application>Microsoft Macintosh Word</Application>
  <DocSecurity>0</DocSecurity>
  <Lines>15</Lines>
  <Paragraphs>4</Paragraphs>
  <ScaleCrop>false</ScaleCrop>
  <Company>Hewlett-Packard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Proofreader Proofreader</cp:lastModifiedBy>
  <cp:revision>6</cp:revision>
  <dcterms:created xsi:type="dcterms:W3CDTF">2017-08-02T16:09:00Z</dcterms:created>
  <dcterms:modified xsi:type="dcterms:W3CDTF">2017-08-02T16:33:00Z</dcterms:modified>
</cp:coreProperties>
</file>