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F4665" w:rsidTr="00727D28">
        <w:tc>
          <w:tcPr>
            <w:tcW w:w="4928" w:type="dxa"/>
          </w:tcPr>
          <w:p w:rsidR="005F4665" w:rsidRPr="005F4665" w:rsidRDefault="005F4665" w:rsidP="00DB7D07">
            <w:pPr>
              <w:jc w:val="both"/>
              <w:rPr>
                <w:b/>
                <w:lang w:val="en-US"/>
              </w:rPr>
            </w:pPr>
            <w:proofErr w:type="spellStart"/>
            <w:r w:rsidRPr="005F4665">
              <w:rPr>
                <w:b/>
                <w:lang w:val="en-US"/>
              </w:rPr>
              <w:t>En</w:t>
            </w:r>
            <w:proofErr w:type="spellEnd"/>
          </w:p>
        </w:tc>
        <w:tc>
          <w:tcPr>
            <w:tcW w:w="4643" w:type="dxa"/>
          </w:tcPr>
          <w:p w:rsidR="005F4665" w:rsidRPr="005F4665" w:rsidRDefault="005F4665">
            <w:pPr>
              <w:rPr>
                <w:b/>
                <w:lang w:val="en-US"/>
              </w:rPr>
            </w:pPr>
            <w:r w:rsidRPr="005F4665">
              <w:rPr>
                <w:b/>
                <w:lang w:val="en-US"/>
              </w:rPr>
              <w:t>Ru</w:t>
            </w:r>
          </w:p>
        </w:tc>
      </w:tr>
      <w:tr w:rsidR="005F4665" w:rsidRPr="006A6CA9" w:rsidTr="00727D28">
        <w:tc>
          <w:tcPr>
            <w:tcW w:w="4928" w:type="dxa"/>
          </w:tcPr>
          <w:p w:rsidR="005F4665" w:rsidRPr="00C102D2" w:rsidRDefault="00C102D2" w:rsidP="00C102D2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This manual describes the operation and basic maintenance for the Purified Water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Generation Unit</w:t>
            </w:r>
            <w:r>
              <w:rPr>
                <w:lang w:val="en-US"/>
              </w:rPr>
              <w:t xml:space="preserve"> (PWGU)</w:t>
            </w:r>
            <w:r w:rsidRPr="00015803">
              <w:rPr>
                <w:lang w:val="en-US"/>
              </w:rPr>
              <w:t>. The unit is designed t</w:t>
            </w:r>
            <w:r w:rsidR="00705369" w:rsidRPr="00015803">
              <w:rPr>
                <w:lang w:val="en-US"/>
              </w:rPr>
              <w:t xml:space="preserve">o deliver 1,500 </w:t>
            </w:r>
            <w:proofErr w:type="spellStart"/>
            <w:r w:rsidR="00705369" w:rsidRPr="00015803">
              <w:rPr>
                <w:lang w:val="en-US"/>
              </w:rPr>
              <w:t>litres</w:t>
            </w:r>
            <w:proofErr w:type="spellEnd"/>
            <w:r w:rsidR="00705369" w:rsidRPr="00015803">
              <w:rPr>
                <w:lang w:val="en-US"/>
              </w:rPr>
              <w:t xml:space="preserve">/hour of </w:t>
            </w:r>
            <w:r w:rsidR="00705369">
              <w:rPr>
                <w:lang w:val="en-US"/>
              </w:rPr>
              <w:t>p</w:t>
            </w:r>
            <w:r w:rsidRPr="00015803">
              <w:rPr>
                <w:lang w:val="en-US"/>
              </w:rPr>
              <w:t>urified water which as a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minimum will meet the Purified Water Requirements of the European Pharmacopoeia</w:t>
            </w:r>
            <w:r>
              <w:rPr>
                <w:lang w:val="en-US"/>
              </w:rPr>
              <w:t xml:space="preserve"> </w:t>
            </w:r>
            <w:r w:rsidRPr="00C102D2">
              <w:rPr>
                <w:lang w:val="en-US"/>
              </w:rPr>
              <w:t>(EP).</w:t>
            </w:r>
          </w:p>
        </w:tc>
        <w:tc>
          <w:tcPr>
            <w:tcW w:w="4643" w:type="dxa"/>
          </w:tcPr>
          <w:p w:rsidR="005F4665" w:rsidRPr="00C128B1" w:rsidRDefault="006A6CA9" w:rsidP="008609AA">
            <w:r>
              <w:t>В данной инструкции оп</w:t>
            </w:r>
            <w:r w:rsidR="00723576">
              <w:t>исаны правила</w:t>
            </w:r>
            <w:r>
              <w:t xml:space="preserve"> эксплуатации </w:t>
            </w:r>
            <w:r w:rsidR="00723576">
              <w:t>и обслуживания</w:t>
            </w:r>
            <w:r>
              <w:t xml:space="preserve"> </w:t>
            </w:r>
            <w:r w:rsidR="004176B4">
              <w:t>у</w:t>
            </w:r>
            <w:r w:rsidR="00723576">
              <w:t>становки</w:t>
            </w:r>
            <w:r w:rsidR="006145A2">
              <w:t xml:space="preserve"> </w:t>
            </w:r>
            <w:r w:rsidR="0094289D">
              <w:t xml:space="preserve">по </w:t>
            </w:r>
            <w:r w:rsidR="006145A2">
              <w:t>подготовк</w:t>
            </w:r>
            <w:r w:rsidR="0094289D">
              <w:t>е</w:t>
            </w:r>
            <w:r w:rsidR="006145A2">
              <w:t xml:space="preserve"> воды очищенной</w:t>
            </w:r>
            <w:r w:rsidRPr="006A6CA9">
              <w:t xml:space="preserve"> (</w:t>
            </w:r>
            <w:r w:rsidR="005A536E">
              <w:t xml:space="preserve">англ. </w:t>
            </w:r>
            <w:r>
              <w:rPr>
                <w:lang w:val="en-US"/>
              </w:rPr>
              <w:t>PWGU</w:t>
            </w:r>
            <w:r w:rsidRPr="006A6CA9">
              <w:t>)</w:t>
            </w:r>
            <w:r w:rsidR="00C128B1">
              <w:t>.</w:t>
            </w:r>
            <w:r w:rsidR="00C128B1" w:rsidRPr="00C128B1">
              <w:t xml:space="preserve"> </w:t>
            </w:r>
            <w:r w:rsidR="00362862">
              <w:t>Установка</w:t>
            </w:r>
            <w:r w:rsidR="00FD61C5">
              <w:t xml:space="preserve"> </w:t>
            </w:r>
            <w:r w:rsidR="004873AF">
              <w:t>производит</w:t>
            </w:r>
            <w:r w:rsidR="008609AA">
              <w:t xml:space="preserve"> </w:t>
            </w:r>
            <w:r w:rsidR="00362862">
              <w:t xml:space="preserve">1 </w:t>
            </w:r>
            <w:r w:rsidR="00B57D59">
              <w:t>500 л/ч</w:t>
            </w:r>
            <w:r w:rsidR="00C128B1">
              <w:t xml:space="preserve"> </w:t>
            </w:r>
            <w:r w:rsidR="006145A2">
              <w:t>воды очищенной</w:t>
            </w:r>
            <w:r w:rsidR="00C128B1">
              <w:t>, согласно</w:t>
            </w:r>
            <w:r w:rsidR="004D0A7A">
              <w:t xml:space="preserve"> минимуму, </w:t>
            </w:r>
            <w:r w:rsidR="007730A7">
              <w:t>зафиксированному</w:t>
            </w:r>
            <w:r w:rsidR="004D0A7A">
              <w:t xml:space="preserve"> </w:t>
            </w:r>
            <w:r w:rsidR="00C128B1">
              <w:t xml:space="preserve"> требованиям</w:t>
            </w:r>
            <w:r w:rsidR="004D0A7A">
              <w:t>и</w:t>
            </w:r>
            <w:r w:rsidR="00C128B1">
              <w:t xml:space="preserve"> к </w:t>
            </w:r>
            <w:r w:rsidR="00C565F6">
              <w:t xml:space="preserve">воде очищенной </w:t>
            </w:r>
            <w:r w:rsidR="00C128B1">
              <w:t>Европейской фармакопеи (ЕФ)</w:t>
            </w:r>
            <w:r w:rsidR="0094289D">
              <w:t>.</w:t>
            </w:r>
            <w:r w:rsidR="00C128B1">
              <w:t xml:space="preserve"> </w:t>
            </w:r>
          </w:p>
        </w:tc>
      </w:tr>
      <w:tr w:rsidR="005F4665" w:rsidRPr="00C128B1" w:rsidTr="00727D28">
        <w:tc>
          <w:tcPr>
            <w:tcW w:w="4928" w:type="dxa"/>
          </w:tcPr>
          <w:p w:rsidR="005F4665" w:rsidRPr="00903E92" w:rsidRDefault="00C102D2" w:rsidP="00C102D2">
            <w:pPr>
              <w:jc w:val="both"/>
              <w:rPr>
                <w:lang w:val="en-US"/>
              </w:rPr>
            </w:pPr>
            <w:r w:rsidRPr="00C102D2">
              <w:rPr>
                <w:lang w:val="en-US"/>
              </w:rPr>
              <w:t xml:space="preserve">The purpose of the </w:t>
            </w:r>
            <w:r>
              <w:rPr>
                <w:lang w:val="en-US"/>
              </w:rPr>
              <w:t>PWGU</w:t>
            </w:r>
            <w:r w:rsidRPr="00C102D2">
              <w:rPr>
                <w:lang w:val="en-US"/>
              </w:rPr>
              <w:t xml:space="preserve"> is to generate EP quality purified</w:t>
            </w:r>
            <w:r>
              <w:rPr>
                <w:lang w:val="en-US"/>
              </w:rPr>
              <w:t xml:space="preserve"> </w:t>
            </w:r>
            <w:r w:rsidRPr="00C102D2">
              <w:rPr>
                <w:lang w:val="en-US"/>
              </w:rPr>
              <w:t>water from a pre-treated feed supply, and to deliver it to the Clients purified water storage</w:t>
            </w:r>
            <w:r>
              <w:rPr>
                <w:lang w:val="en-US"/>
              </w:rPr>
              <w:t xml:space="preserve"> </w:t>
            </w:r>
            <w:r w:rsidRPr="00C102D2">
              <w:rPr>
                <w:lang w:val="en-US"/>
              </w:rPr>
              <w:t>vessel for distribution.</w:t>
            </w:r>
          </w:p>
        </w:tc>
        <w:tc>
          <w:tcPr>
            <w:tcW w:w="4643" w:type="dxa"/>
          </w:tcPr>
          <w:p w:rsidR="00C128B1" w:rsidRPr="00F706EC" w:rsidRDefault="004176B4" w:rsidP="00F96818">
            <w:r>
              <w:t xml:space="preserve">В установке </w:t>
            </w:r>
            <w:r w:rsidR="00C128B1">
              <w:rPr>
                <w:lang w:val="en-US"/>
              </w:rPr>
              <w:t>PWGU</w:t>
            </w:r>
            <w:r w:rsidR="00C128B1" w:rsidRPr="00C128B1">
              <w:t xml:space="preserve"> </w:t>
            </w:r>
            <w:r>
              <w:t>производится вода</w:t>
            </w:r>
            <w:r w:rsidR="006145A2">
              <w:t xml:space="preserve"> </w:t>
            </w:r>
            <w:r>
              <w:t>очищенная, отвечающая стандартам качества</w:t>
            </w:r>
            <w:r w:rsidR="00C128B1">
              <w:t xml:space="preserve"> </w:t>
            </w:r>
            <w:r w:rsidR="00987DA3">
              <w:t>ЕФ</w:t>
            </w:r>
            <w:r>
              <w:t>,</w:t>
            </w:r>
            <w:r w:rsidR="00C128B1">
              <w:t xml:space="preserve"> из </w:t>
            </w:r>
            <w:r w:rsidR="00086259">
              <w:t>предварительно обработанной поступающей воды</w:t>
            </w:r>
            <w:r>
              <w:t>.</w:t>
            </w:r>
            <w:r w:rsidR="007772E2">
              <w:t xml:space="preserve"> </w:t>
            </w:r>
            <w:r w:rsidR="00D457AB">
              <w:t xml:space="preserve">Вода очищенная </w:t>
            </w:r>
            <w:r w:rsidR="00F96818">
              <w:t>поставляется</w:t>
            </w:r>
            <w:r w:rsidR="00480E71">
              <w:t xml:space="preserve"> в ёмкость для хранения  и дальнейшего использования.</w:t>
            </w:r>
          </w:p>
        </w:tc>
      </w:tr>
      <w:tr w:rsidR="005F4665" w:rsidRPr="00F706EC" w:rsidTr="00727D28">
        <w:tc>
          <w:tcPr>
            <w:tcW w:w="4928" w:type="dxa"/>
          </w:tcPr>
          <w:p w:rsidR="005F4665" w:rsidRPr="00015803" w:rsidRDefault="00612431" w:rsidP="00612431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 xml:space="preserve">The Primary Reverse Osmosis Units are used to </w:t>
            </w:r>
            <w:proofErr w:type="spellStart"/>
            <w:r w:rsidRPr="00015803">
              <w:rPr>
                <w:lang w:val="en-US"/>
              </w:rPr>
              <w:t>demineralise</w:t>
            </w:r>
            <w:proofErr w:type="spellEnd"/>
            <w:r w:rsidRPr="00015803">
              <w:rPr>
                <w:lang w:val="en-US"/>
              </w:rPr>
              <w:t xml:space="preserve"> the water to</w:t>
            </w:r>
            <w:r>
              <w:rPr>
                <w:lang w:val="en-US"/>
              </w:rPr>
              <w:t xml:space="preserve"> </w:t>
            </w:r>
            <w:proofErr w:type="gramStart"/>
            <w:r w:rsidRPr="00015803">
              <w:rPr>
                <w:lang w:val="en-US"/>
              </w:rPr>
              <w:t>a purity</w:t>
            </w:r>
            <w:proofErr w:type="gramEnd"/>
            <w:r w:rsidRPr="00015803">
              <w:rPr>
                <w:lang w:val="en-US"/>
              </w:rPr>
              <w:t xml:space="preserve"> suitable for feed to the downstream Secondary RO Unit.</w:t>
            </w:r>
          </w:p>
        </w:tc>
        <w:tc>
          <w:tcPr>
            <w:tcW w:w="4643" w:type="dxa"/>
          </w:tcPr>
          <w:p w:rsidR="005F4665" w:rsidRPr="001E51C7" w:rsidRDefault="00AD2794" w:rsidP="006D2235">
            <w:r>
              <w:t>Деминерализация</w:t>
            </w:r>
            <w:r w:rsidR="00F706EC">
              <w:t xml:space="preserve"> воды</w:t>
            </w:r>
            <w:r w:rsidR="005D5B2A">
              <w:t xml:space="preserve">, </w:t>
            </w:r>
            <w:r w:rsidR="00F706EC">
              <w:t>удовлетворяющ</w:t>
            </w:r>
            <w:r w:rsidR="005D5B2A">
              <w:t>ей</w:t>
            </w:r>
            <w:r w:rsidR="00F706EC">
              <w:t xml:space="preserve"> </w:t>
            </w:r>
            <w:r w:rsidR="005D5B2A">
              <w:t>показа</w:t>
            </w:r>
            <w:r w:rsidR="00E27569">
              <w:t>телям</w:t>
            </w:r>
            <w:r w:rsidR="005D5B2A">
              <w:t xml:space="preserve"> чистоты</w:t>
            </w:r>
            <w:r w:rsidR="00F706EC">
              <w:t>,</w:t>
            </w:r>
            <w:r w:rsidR="005D5B2A">
              <w:t xml:space="preserve"> производится в</w:t>
            </w:r>
            <w:r w:rsidR="00F706EC">
              <w:t xml:space="preserve"> </w:t>
            </w:r>
            <w:r w:rsidR="006D2235">
              <w:t>б</w:t>
            </w:r>
            <w:r w:rsidR="005D5B2A">
              <w:t xml:space="preserve">локах первичного обратного </w:t>
            </w:r>
            <w:r w:rsidR="005D5B2A" w:rsidRPr="00F706EC">
              <w:t>осмоса</w:t>
            </w:r>
            <w:r w:rsidR="005D5B2A">
              <w:t xml:space="preserve">. </w:t>
            </w:r>
            <w:r w:rsidR="00ED651E">
              <w:t xml:space="preserve">Далее она </w:t>
            </w:r>
            <w:r w:rsidR="005D5B2A">
              <w:t>используется</w:t>
            </w:r>
            <w:r w:rsidR="00F706EC">
              <w:t xml:space="preserve"> </w:t>
            </w:r>
            <w:r w:rsidR="00F96818">
              <w:t>в б</w:t>
            </w:r>
            <w:r w:rsidR="001E51C7">
              <w:t>локе вторичного обратного осмоса.</w:t>
            </w:r>
          </w:p>
        </w:tc>
      </w:tr>
      <w:tr w:rsidR="005F4665" w:rsidRPr="00B62AA4" w:rsidTr="00727D28">
        <w:tc>
          <w:tcPr>
            <w:tcW w:w="4928" w:type="dxa"/>
          </w:tcPr>
          <w:p w:rsidR="005F4665" w:rsidRPr="00015803" w:rsidRDefault="00925A08" w:rsidP="00925A08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On plant start up (powering up of the Central Control Panel) the Feed Water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Storage Tank will need to reach the “pump enable” level set point before the Primary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RO Booster Pump will automatically start.</w:t>
            </w:r>
          </w:p>
        </w:tc>
        <w:tc>
          <w:tcPr>
            <w:tcW w:w="4643" w:type="dxa"/>
          </w:tcPr>
          <w:p w:rsidR="00B62AA4" w:rsidRPr="00A64590" w:rsidRDefault="003621C0">
            <w:r>
              <w:t>Запуск системы</w:t>
            </w:r>
            <w:r w:rsidR="00A64590">
              <w:t>, производящ</w:t>
            </w:r>
            <w:r>
              <w:t>ийся</w:t>
            </w:r>
            <w:r w:rsidR="00A64590">
              <w:t xml:space="preserve"> </w:t>
            </w:r>
            <w:proofErr w:type="gramStart"/>
            <w:r w:rsidR="00A64590">
              <w:t>с</w:t>
            </w:r>
            <w:proofErr w:type="gramEnd"/>
          </w:p>
          <w:p w:rsidR="006D2235" w:rsidRPr="00FB7491" w:rsidRDefault="00E27569" w:rsidP="008609AA">
            <w:r>
              <w:t>ц</w:t>
            </w:r>
            <w:r w:rsidR="00FB7491">
              <w:t>ентрального пуль</w:t>
            </w:r>
            <w:r>
              <w:t xml:space="preserve">та </w:t>
            </w:r>
            <w:r w:rsidR="00FB7491">
              <w:t>управления</w:t>
            </w:r>
            <w:r w:rsidR="00A64590">
              <w:t>,</w:t>
            </w:r>
            <w:r>
              <w:t xml:space="preserve"> </w:t>
            </w:r>
            <w:r w:rsidR="00F96818">
              <w:t xml:space="preserve">осуществляется при получении </w:t>
            </w:r>
            <w:r w:rsidR="00054AB4">
              <w:t>сигнал</w:t>
            </w:r>
            <w:r w:rsidR="00F96818">
              <w:t>а</w:t>
            </w:r>
            <w:r w:rsidR="00054AB4">
              <w:t xml:space="preserve"> </w:t>
            </w:r>
            <w:r w:rsidR="00F96818">
              <w:br/>
            </w:r>
            <w:r w:rsidR="00054AB4" w:rsidRPr="008A5174">
              <w:t>«</w:t>
            </w:r>
            <w:r w:rsidR="00054AB4">
              <w:t>насос включён</w:t>
            </w:r>
            <w:r w:rsidR="00054AB4" w:rsidRPr="0052424D">
              <w:t>»</w:t>
            </w:r>
            <w:r w:rsidR="00F96818">
              <w:t xml:space="preserve"> от бака с подаваемой водой</w:t>
            </w:r>
            <w:r w:rsidR="00054AB4">
              <w:t xml:space="preserve">. </w:t>
            </w:r>
            <w:proofErr w:type="spellStart"/>
            <w:r w:rsidR="008609AA">
              <w:t>Б</w:t>
            </w:r>
            <w:r w:rsidR="006D2235">
              <w:t>у</w:t>
            </w:r>
            <w:r w:rsidR="001B09EF">
              <w:t>стерный</w:t>
            </w:r>
            <w:proofErr w:type="spellEnd"/>
            <w:r w:rsidR="001B09EF">
              <w:t xml:space="preserve"> насос автоматически начинает</w:t>
            </w:r>
            <w:r w:rsidR="006D2235">
              <w:t xml:space="preserve"> перекачку воды в блок первичного обратного осмоса.</w:t>
            </w:r>
          </w:p>
        </w:tc>
      </w:tr>
      <w:tr w:rsidR="005F4665" w:rsidRPr="00374211" w:rsidTr="00727D28">
        <w:tc>
          <w:tcPr>
            <w:tcW w:w="4928" w:type="dxa"/>
          </w:tcPr>
          <w:p w:rsidR="005F4665" w:rsidRPr="00015803" w:rsidRDefault="00FF4CA4" w:rsidP="00A34BE2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 xml:space="preserve">If the water </w:t>
            </w:r>
            <w:r w:rsidR="00A34BE2" w:rsidRPr="00015803">
              <w:rPr>
                <w:lang w:val="en-US"/>
              </w:rPr>
              <w:t xml:space="preserve">temperature </w:t>
            </w:r>
            <w:r w:rsidRPr="00015803">
              <w:rPr>
                <w:lang w:val="en-US"/>
              </w:rPr>
              <w:t xml:space="preserve">exceeds a </w:t>
            </w:r>
            <w:proofErr w:type="spellStart"/>
            <w:r w:rsidRPr="00015803">
              <w:rPr>
                <w:lang w:val="en-US"/>
              </w:rPr>
              <w:t>setpoint</w:t>
            </w:r>
            <w:proofErr w:type="spellEnd"/>
            <w:r w:rsidRPr="00015803">
              <w:rPr>
                <w:lang w:val="en-US"/>
              </w:rPr>
              <w:t xml:space="preserve"> (25˚C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configurable) for a preset time an alarm is raised, valve V</w:t>
            </w:r>
            <w:r w:rsidR="0050302C">
              <w:rPr>
                <w:lang w:val="en-US"/>
              </w:rPr>
              <w:t>0</w:t>
            </w:r>
            <w:r w:rsidRPr="00015803">
              <w:rPr>
                <w:lang w:val="en-US"/>
              </w:rPr>
              <w:t>7 opens so that waste water goes to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drain and allows fresh cold mains water into the system.</w:t>
            </w:r>
          </w:p>
        </w:tc>
        <w:tc>
          <w:tcPr>
            <w:tcW w:w="4643" w:type="dxa"/>
          </w:tcPr>
          <w:p w:rsidR="005F4665" w:rsidRPr="00472E01" w:rsidRDefault="00374211" w:rsidP="00D166DE">
            <w:r>
              <w:t xml:space="preserve">Если </w:t>
            </w:r>
            <w:r w:rsidR="00AD2794">
              <w:t xml:space="preserve">в течение установленного времени </w:t>
            </w:r>
            <w:r>
              <w:t>температура воды превышает заданное значение (25</w:t>
            </w:r>
            <w:r w:rsidR="001B09EF" w:rsidRPr="001B09EF">
              <w:t>˚</w:t>
            </w:r>
            <w:r w:rsidR="001B09EF" w:rsidRPr="00015803">
              <w:rPr>
                <w:lang w:val="en-US"/>
              </w:rPr>
              <w:t>C</w:t>
            </w:r>
            <w:r w:rsidR="001B09EF">
              <w:t xml:space="preserve"> согласно настройкам</w:t>
            </w:r>
            <w:r>
              <w:t>)</w:t>
            </w:r>
            <w:r w:rsidR="00472E01">
              <w:t xml:space="preserve">, система </w:t>
            </w:r>
            <w:r w:rsidR="006838F3">
              <w:t>выводит предупреждение</w:t>
            </w:r>
            <w:r w:rsidR="00472E01">
              <w:t xml:space="preserve">, клапан </w:t>
            </w:r>
            <w:r w:rsidR="00472E01">
              <w:rPr>
                <w:lang w:val="en-US"/>
              </w:rPr>
              <w:t>V</w:t>
            </w:r>
            <w:r w:rsidR="00472E01" w:rsidRPr="00472E01">
              <w:t xml:space="preserve">07 </w:t>
            </w:r>
            <w:r w:rsidR="00472E01">
              <w:t>открывается,</w:t>
            </w:r>
            <w:r w:rsidR="00D166DE">
              <w:t xml:space="preserve"> </w:t>
            </w:r>
            <w:r w:rsidR="00472E01">
              <w:t xml:space="preserve">вода </w:t>
            </w:r>
            <w:r w:rsidR="006838F3">
              <w:t>сливается</w:t>
            </w:r>
            <w:r w:rsidR="00877DCD">
              <w:t xml:space="preserve"> в канализацию</w:t>
            </w:r>
            <w:r w:rsidR="00472E01">
              <w:t>, пресная холодная водопроводная вода подаётся в систему</w:t>
            </w:r>
            <w:r w:rsidR="006838F3">
              <w:t>.</w:t>
            </w:r>
            <w:r w:rsidR="00472E01">
              <w:t xml:space="preserve"> </w:t>
            </w:r>
          </w:p>
        </w:tc>
      </w:tr>
      <w:tr w:rsidR="005F4665" w:rsidRPr="00606059" w:rsidTr="00727D28">
        <w:tc>
          <w:tcPr>
            <w:tcW w:w="4928" w:type="dxa"/>
          </w:tcPr>
          <w:p w:rsidR="005F4665" w:rsidRPr="00015803" w:rsidRDefault="00BD2B37" w:rsidP="00E1726C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PWGU</w:t>
            </w:r>
            <w:r w:rsidRPr="00015803">
              <w:rPr>
                <w:lang w:val="en-US"/>
              </w:rPr>
              <w:t xml:space="preserve"> is chemically </w:t>
            </w:r>
            <w:proofErr w:type="spellStart"/>
            <w:r w:rsidRPr="00015803">
              <w:rPr>
                <w:lang w:val="en-US"/>
              </w:rPr>
              <w:t>sanitisable</w:t>
            </w:r>
            <w:proofErr w:type="spellEnd"/>
            <w:r w:rsidRPr="00015803">
              <w:rPr>
                <w:lang w:val="en-US"/>
              </w:rPr>
              <w:t xml:space="preserve"> and </w:t>
            </w:r>
            <w:proofErr w:type="spellStart"/>
            <w:r w:rsidRPr="00015803">
              <w:rPr>
                <w:lang w:val="en-US"/>
              </w:rPr>
              <w:t>utilises</w:t>
            </w:r>
            <w:proofErr w:type="spellEnd"/>
            <w:r w:rsidRPr="00015803">
              <w:rPr>
                <w:lang w:val="en-US"/>
              </w:rPr>
              <w:t xml:space="preserve"> the Feed water tank (TK01), as a reservoir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 xml:space="preserve">for addition of </w:t>
            </w:r>
            <w:proofErr w:type="spellStart"/>
            <w:r w:rsidRPr="00015803">
              <w:rPr>
                <w:lang w:val="en-US"/>
              </w:rPr>
              <w:t>Peracetic</w:t>
            </w:r>
            <w:proofErr w:type="spellEnd"/>
            <w:r w:rsidRPr="00015803">
              <w:rPr>
                <w:lang w:val="en-US"/>
              </w:rPr>
              <w:t xml:space="preserve"> Acid (P3-Oxonia Active </w:t>
            </w:r>
            <w:proofErr w:type="spellStart"/>
            <w:r w:rsidRPr="00015803">
              <w:rPr>
                <w:lang w:val="en-US"/>
              </w:rPr>
              <w:t>sanitant</w:t>
            </w:r>
            <w:proofErr w:type="spellEnd"/>
            <w:r w:rsidRPr="00015803">
              <w:rPr>
                <w:lang w:val="en-US"/>
              </w:rPr>
              <w:t xml:space="preserve">). The </w:t>
            </w:r>
            <w:proofErr w:type="spellStart"/>
            <w:r w:rsidRPr="00015803">
              <w:rPr>
                <w:lang w:val="en-US"/>
              </w:rPr>
              <w:t>sanitisation</w:t>
            </w:r>
            <w:proofErr w:type="spellEnd"/>
            <w:r w:rsidRPr="00015803">
              <w:rPr>
                <w:lang w:val="en-US"/>
              </w:rPr>
              <w:t xml:space="preserve"> procedure will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 xml:space="preserve">allow the complete </w:t>
            </w:r>
            <w:r>
              <w:rPr>
                <w:lang w:val="en-US"/>
              </w:rPr>
              <w:t>PWGU</w:t>
            </w:r>
            <w:r w:rsidRPr="00015803">
              <w:rPr>
                <w:lang w:val="en-US"/>
              </w:rPr>
              <w:t xml:space="preserve"> system and pipework to the take off point to be </w:t>
            </w:r>
            <w:proofErr w:type="spellStart"/>
            <w:r w:rsidRPr="00015803">
              <w:rPr>
                <w:lang w:val="en-US"/>
              </w:rPr>
              <w:t>sanitised</w:t>
            </w:r>
            <w:proofErr w:type="spellEnd"/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simultaneously.</w:t>
            </w:r>
          </w:p>
        </w:tc>
        <w:tc>
          <w:tcPr>
            <w:tcW w:w="4643" w:type="dxa"/>
          </w:tcPr>
          <w:p w:rsidR="005F4665" w:rsidRPr="00606059" w:rsidRDefault="006838F3" w:rsidP="004873AF">
            <w:r>
              <w:t xml:space="preserve">Установка </w:t>
            </w:r>
            <w:r w:rsidR="00606059">
              <w:rPr>
                <w:lang w:val="en-US"/>
              </w:rPr>
              <w:t>PWGU</w:t>
            </w:r>
            <w:r w:rsidR="00606059">
              <w:t xml:space="preserve"> химически </w:t>
            </w:r>
            <w:r w:rsidR="004873AF">
              <w:t>санитизируется</w:t>
            </w:r>
            <w:r>
              <w:t xml:space="preserve">. </w:t>
            </w:r>
            <w:r w:rsidR="00606059">
              <w:t xml:space="preserve"> Бак с подаваемой водой (ТК01) </w:t>
            </w:r>
            <w:r w:rsidR="004438D3" w:rsidRPr="00C128B1">
              <w:t>–</w:t>
            </w:r>
            <w:r w:rsidR="004438D3">
              <w:t xml:space="preserve"> резервуар</w:t>
            </w:r>
            <w:r w:rsidR="00606059">
              <w:t xml:space="preserve"> для добавления </w:t>
            </w:r>
            <w:proofErr w:type="spellStart"/>
            <w:r w:rsidR="00606059" w:rsidRPr="00606059">
              <w:t>перуксусной</w:t>
            </w:r>
            <w:proofErr w:type="spellEnd"/>
            <w:r w:rsidR="00606059" w:rsidRPr="00606059">
              <w:t> кислоты</w:t>
            </w:r>
            <w:r w:rsidR="00606059">
              <w:t xml:space="preserve"> (</w:t>
            </w:r>
            <w:r w:rsidR="00054A1D" w:rsidRPr="00054A1D">
              <w:t>дезинфицирующее средство</w:t>
            </w:r>
            <w:r w:rsidR="00054A1D">
              <w:t xml:space="preserve"> Р</w:t>
            </w:r>
            <w:r w:rsidR="00054A1D" w:rsidRPr="00054A1D">
              <w:t>3-</w:t>
            </w:r>
            <w:r w:rsidR="00054A1D">
              <w:t>О</w:t>
            </w:r>
            <w:r w:rsidR="00054A1D" w:rsidRPr="00054A1D">
              <w:t xml:space="preserve">ксония </w:t>
            </w:r>
            <w:r w:rsidR="00054A1D">
              <w:t>А</w:t>
            </w:r>
            <w:r w:rsidR="00054A1D" w:rsidRPr="00054A1D">
              <w:t>ктив</w:t>
            </w:r>
            <w:r w:rsidR="00054A1D">
              <w:t>)</w:t>
            </w:r>
            <w:r w:rsidR="0068791B">
              <w:t xml:space="preserve">. </w:t>
            </w:r>
            <w:r w:rsidR="00480E71">
              <w:t>Санитизация</w:t>
            </w:r>
            <w:r w:rsidR="0068791B">
              <w:t xml:space="preserve"> позволяет </w:t>
            </w:r>
            <w:r w:rsidR="00350D81">
              <w:t xml:space="preserve">проводить одновременную дезинфекцию всей системы </w:t>
            </w:r>
            <w:r w:rsidR="00350D81">
              <w:rPr>
                <w:lang w:val="en-US"/>
              </w:rPr>
              <w:t>PWGU</w:t>
            </w:r>
            <w:r w:rsidR="0068791B">
              <w:t xml:space="preserve"> и </w:t>
            </w:r>
            <w:r w:rsidR="00350D81">
              <w:t>трубопроводов.</w:t>
            </w:r>
          </w:p>
        </w:tc>
      </w:tr>
      <w:tr w:rsidR="008857F0" w:rsidRPr="001E73C4" w:rsidTr="00727D28">
        <w:tc>
          <w:tcPr>
            <w:tcW w:w="4928" w:type="dxa"/>
          </w:tcPr>
          <w:p w:rsidR="00D457AB" w:rsidRDefault="00D457AB" w:rsidP="00E30099">
            <w:pPr>
              <w:jc w:val="both"/>
            </w:pPr>
          </w:p>
          <w:p w:rsidR="008857F0" w:rsidRPr="00015803" w:rsidRDefault="00E30099" w:rsidP="00E30099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The engineers screen allows the engineer to view the following additional screens –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 xml:space="preserve">commissioning, alarm set points, analogue set up and PID </w:t>
            </w:r>
            <w:proofErr w:type="spellStart"/>
            <w:r w:rsidRPr="00015803">
              <w:rPr>
                <w:lang w:val="en-US"/>
              </w:rPr>
              <w:t>setpoints</w:t>
            </w:r>
            <w:proofErr w:type="spellEnd"/>
            <w:r w:rsidRPr="00015803">
              <w:rPr>
                <w:lang w:val="en-US"/>
              </w:rPr>
              <w:t>. The user will require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‘Engineers’ administration rights to access these screens.</w:t>
            </w:r>
          </w:p>
        </w:tc>
        <w:tc>
          <w:tcPr>
            <w:tcW w:w="4643" w:type="dxa"/>
          </w:tcPr>
          <w:p w:rsidR="00D457AB" w:rsidRPr="00873549" w:rsidRDefault="00D457AB">
            <w:pPr>
              <w:rPr>
                <w:lang w:val="en-US"/>
              </w:rPr>
            </w:pPr>
            <w:bookmarkStart w:id="0" w:name="_GoBack"/>
            <w:bookmarkEnd w:id="0"/>
          </w:p>
          <w:p w:rsidR="00DF2392" w:rsidRDefault="00DF2392">
            <w:r>
              <w:t>Н</w:t>
            </w:r>
            <w:r w:rsidR="003C1B64">
              <w:t xml:space="preserve">а операторскую панель выводится информация </w:t>
            </w:r>
            <w:r w:rsidR="005338DA">
              <w:t xml:space="preserve">о </w:t>
            </w:r>
            <w:r w:rsidR="00ED2F38">
              <w:t>вводе</w:t>
            </w:r>
            <w:r w:rsidR="00D457AB">
              <w:t xml:space="preserve"> установки</w:t>
            </w:r>
            <w:r w:rsidR="00ED2F38">
              <w:t xml:space="preserve"> в эксплуатацию, </w:t>
            </w:r>
            <w:r w:rsidR="00033366">
              <w:t xml:space="preserve"> </w:t>
            </w:r>
            <w:r w:rsidR="00133098">
              <w:t>предупреждениях</w:t>
            </w:r>
            <w:r w:rsidR="00A332E9">
              <w:t>,</w:t>
            </w:r>
            <w:r w:rsidR="00D457AB">
              <w:t xml:space="preserve"> аналоговых показаниях,</w:t>
            </w:r>
            <w:r w:rsidR="00A332E9">
              <w:t xml:space="preserve"> заданны</w:t>
            </w:r>
            <w:r w:rsidR="00133098">
              <w:t>х</w:t>
            </w:r>
            <w:r w:rsidR="00A332E9">
              <w:t xml:space="preserve"> величин</w:t>
            </w:r>
            <w:r w:rsidR="00133098">
              <w:t>ах</w:t>
            </w:r>
            <w:r w:rsidR="00A332E9">
              <w:t xml:space="preserve"> </w:t>
            </w:r>
            <w:r w:rsidR="00270687" w:rsidRPr="00270687">
              <w:br/>
            </w:r>
            <w:r w:rsidR="00A332E9">
              <w:t>ПИД-регулятора.</w:t>
            </w:r>
          </w:p>
          <w:p w:rsidR="008857F0" w:rsidRPr="008A5174" w:rsidRDefault="001E73C4" w:rsidP="00B25FC9">
            <w:r>
              <w:t xml:space="preserve">Использование </w:t>
            </w:r>
            <w:r w:rsidR="00DF2392">
              <w:t>панели управления</w:t>
            </w:r>
            <w:r>
              <w:t xml:space="preserve"> возможно только при наличии у пользователя </w:t>
            </w:r>
            <w:r w:rsidR="00B25FC9">
              <w:t xml:space="preserve">административных прав </w:t>
            </w:r>
            <w:r w:rsidR="008A5174" w:rsidRPr="008A5174">
              <w:t>«</w:t>
            </w:r>
            <w:r w:rsidR="00962B1B" w:rsidRPr="00015803">
              <w:rPr>
                <w:lang w:val="en-US"/>
              </w:rPr>
              <w:t>Engineers</w:t>
            </w:r>
            <w:r w:rsidR="008A5174" w:rsidRPr="008A5174">
              <w:t>»</w:t>
            </w:r>
            <w:r>
              <w:t>.</w:t>
            </w:r>
          </w:p>
          <w:p w:rsidR="000627FF" w:rsidRPr="0062733A" w:rsidRDefault="000627FF" w:rsidP="00B25FC9"/>
        </w:tc>
      </w:tr>
      <w:tr w:rsidR="008857F0" w:rsidRPr="00417B5E" w:rsidTr="00727D28">
        <w:tc>
          <w:tcPr>
            <w:tcW w:w="4928" w:type="dxa"/>
          </w:tcPr>
          <w:p w:rsidR="008857F0" w:rsidRPr="00015803" w:rsidRDefault="00BF45A5" w:rsidP="00BF45A5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PWGU</w:t>
            </w:r>
            <w:r w:rsidRPr="00015803">
              <w:rPr>
                <w:lang w:val="en-US"/>
              </w:rPr>
              <w:t xml:space="preserve"> Analogue Setup Screen contains the minimum and maximum scaled ranges of all the instruments on the system. It is important that any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lastRenderedPageBreak/>
              <w:t>instruments replaced during the life cycle of the system are ranged the same as the original instrument or inaccuracies in the displayed reading on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the HMI will be evident.</w:t>
            </w:r>
          </w:p>
        </w:tc>
        <w:tc>
          <w:tcPr>
            <w:tcW w:w="4643" w:type="dxa"/>
          </w:tcPr>
          <w:p w:rsidR="00D457AB" w:rsidRPr="008C4C28" w:rsidRDefault="00033366" w:rsidP="008C4C28">
            <w:r>
              <w:lastRenderedPageBreak/>
              <w:t>Показания всех аналоговых приборов</w:t>
            </w:r>
            <w:r w:rsidR="00D457AB">
              <w:t xml:space="preserve"> системы, выводимых на экран ЧМИ, содержат </w:t>
            </w:r>
            <w:r w:rsidR="00D457AB" w:rsidRPr="00D457AB">
              <w:t xml:space="preserve">минимальный и максимальный </w:t>
            </w:r>
            <w:r w:rsidR="00D457AB" w:rsidRPr="00D457AB">
              <w:lastRenderedPageBreak/>
              <w:t>масштабированные диапазоны.</w:t>
            </w:r>
            <w:r w:rsidR="00D457AB">
              <w:t xml:space="preserve"> </w:t>
            </w:r>
            <w:r w:rsidR="008C4C28">
              <w:t xml:space="preserve"> </w:t>
            </w:r>
            <w:r w:rsidR="00D457AB">
              <w:t>Для получения ко</w:t>
            </w:r>
            <w:r w:rsidR="00412D21">
              <w:t>рректных показаний необходимо, чтобы</w:t>
            </w:r>
            <w:r w:rsidR="008C4C28">
              <w:t xml:space="preserve"> диапазон любого </w:t>
            </w:r>
            <w:r w:rsidR="00412D21">
              <w:t>прибор</w:t>
            </w:r>
            <w:r w:rsidR="008C4C28">
              <w:t>а, заменённого</w:t>
            </w:r>
            <w:r w:rsidR="00412D21">
              <w:t xml:space="preserve"> в процессе работы установки, </w:t>
            </w:r>
            <w:r w:rsidR="008C4C28">
              <w:t>имел диапазоны исходного.</w:t>
            </w:r>
          </w:p>
        </w:tc>
      </w:tr>
      <w:tr w:rsidR="008857F0" w:rsidTr="00727D28">
        <w:tc>
          <w:tcPr>
            <w:tcW w:w="4928" w:type="dxa"/>
          </w:tcPr>
          <w:p w:rsidR="008857F0" w:rsidRPr="008B6A24" w:rsidRDefault="008B6A24" w:rsidP="008B6A24">
            <w:pPr>
              <w:jc w:val="both"/>
              <w:rPr>
                <w:lang w:val="en-US"/>
              </w:rPr>
            </w:pPr>
            <w:proofErr w:type="spellStart"/>
            <w:r w:rsidRPr="008B6A24">
              <w:lastRenderedPageBreak/>
              <w:t>Feed</w:t>
            </w:r>
            <w:proofErr w:type="spellEnd"/>
            <w:r w:rsidRPr="008B6A24">
              <w:t xml:space="preserve"> </w:t>
            </w:r>
            <w:proofErr w:type="spellStart"/>
            <w:r w:rsidRPr="008B6A24">
              <w:t>Water</w:t>
            </w:r>
            <w:proofErr w:type="spellEnd"/>
            <w:r w:rsidRPr="008B6A24">
              <w:t xml:space="preserve"> </w:t>
            </w:r>
            <w:proofErr w:type="spellStart"/>
            <w:r w:rsidRPr="008B6A24">
              <w:t>Specification</w:t>
            </w:r>
            <w:proofErr w:type="spellEnd"/>
            <w:r w:rsidRPr="008B6A24">
              <w:rPr>
                <w:lang w:val="en-US"/>
              </w:rPr>
              <w:t>:</w:t>
            </w:r>
          </w:p>
          <w:p w:rsidR="008B6A24" w:rsidRPr="008B6A24" w:rsidRDefault="008B6A24" w:rsidP="008B6A24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8B6A24">
              <w:rPr>
                <w:lang w:val="en-US"/>
              </w:rPr>
              <w:t>General Potable water free from organics, colloids and suspended solids (SDI &lt;5)</w:t>
            </w:r>
          </w:p>
          <w:p w:rsidR="008B6A24" w:rsidRPr="008B6A24" w:rsidRDefault="008B6A24" w:rsidP="008B6A24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8B6A24">
              <w:rPr>
                <w:lang w:val="en-US"/>
              </w:rPr>
              <w:t>Feed Water Pressure 2-6 bar</w:t>
            </w:r>
          </w:p>
          <w:p w:rsidR="008B6A24" w:rsidRPr="008B6A24" w:rsidRDefault="008B6A24" w:rsidP="008B6A24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8B6A24">
              <w:rPr>
                <w:lang w:val="en-US"/>
              </w:rPr>
              <w:t>Total Hardness Less than 5 ppm as CaCO3</w:t>
            </w:r>
          </w:p>
          <w:p w:rsidR="008B6A24" w:rsidRPr="008B6A24" w:rsidRDefault="008B6A24" w:rsidP="008B6A24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8B6A24">
              <w:rPr>
                <w:lang w:val="en-US"/>
              </w:rPr>
              <w:t xml:space="preserve">Conductivity &lt; 1,000 </w:t>
            </w:r>
            <w:proofErr w:type="spellStart"/>
            <w:r w:rsidRPr="008B6A24">
              <w:rPr>
                <w:lang w:val="en-US"/>
              </w:rPr>
              <w:t>μS</w:t>
            </w:r>
            <w:proofErr w:type="spellEnd"/>
            <w:r w:rsidRPr="008B6A24">
              <w:rPr>
                <w:lang w:val="en-US"/>
              </w:rPr>
              <w:t>/cm</w:t>
            </w:r>
          </w:p>
        </w:tc>
        <w:tc>
          <w:tcPr>
            <w:tcW w:w="4643" w:type="dxa"/>
          </w:tcPr>
          <w:p w:rsidR="0083387F" w:rsidRDefault="0083387F" w:rsidP="0083387F">
            <w:pPr>
              <w:jc w:val="both"/>
            </w:pPr>
            <w:r>
              <w:t>Требования к поступающей воде:</w:t>
            </w:r>
          </w:p>
          <w:p w:rsidR="006A07DA" w:rsidRDefault="003567B3" w:rsidP="003567B3">
            <w:pPr>
              <w:pStyle w:val="a4"/>
              <w:numPr>
                <w:ilvl w:val="0"/>
                <w:numId w:val="3"/>
              </w:numPr>
              <w:jc w:val="both"/>
            </w:pPr>
            <w:r>
              <w:t>в</w:t>
            </w:r>
            <w:r w:rsidR="006A07DA">
              <w:t>одопроводная вода</w:t>
            </w:r>
            <w:r>
              <w:t xml:space="preserve"> без</w:t>
            </w:r>
            <w:r w:rsidRPr="003567B3">
              <w:t xml:space="preserve"> </w:t>
            </w:r>
            <w:r>
              <w:t xml:space="preserve">органических веществ, </w:t>
            </w:r>
            <w:r w:rsidR="008609AA">
              <w:t>коллоидов</w:t>
            </w:r>
            <w:r>
              <w:t xml:space="preserve"> и взвешенных частиц (</w:t>
            </w:r>
            <w:r w:rsidRPr="008B6A24">
              <w:rPr>
                <w:lang w:val="en-US"/>
              </w:rPr>
              <w:t>SDI</w:t>
            </w:r>
            <w:r w:rsidRPr="003567B3">
              <w:t xml:space="preserve"> &lt;5</w:t>
            </w:r>
            <w:r>
              <w:t xml:space="preserve">) </w:t>
            </w:r>
          </w:p>
          <w:p w:rsidR="008857F0" w:rsidRPr="003567B3" w:rsidRDefault="003567B3" w:rsidP="005D6D4F">
            <w:pPr>
              <w:pStyle w:val="a4"/>
              <w:numPr>
                <w:ilvl w:val="0"/>
                <w:numId w:val="1"/>
              </w:numPr>
              <w:jc w:val="both"/>
            </w:pPr>
            <w:r>
              <w:t>необходимое д</w:t>
            </w:r>
            <w:r w:rsidR="008A5174" w:rsidRPr="003567B3">
              <w:t>авление поступающей воды</w:t>
            </w:r>
            <w:r w:rsidRPr="003567B3">
              <w:t>:</w:t>
            </w:r>
            <w:r w:rsidR="008A5174" w:rsidRPr="003567B3">
              <w:t xml:space="preserve"> 2-6 бар</w:t>
            </w:r>
          </w:p>
          <w:p w:rsidR="00F4641A" w:rsidRDefault="003567B3" w:rsidP="005D6D4F">
            <w:pPr>
              <w:pStyle w:val="a4"/>
              <w:numPr>
                <w:ilvl w:val="0"/>
                <w:numId w:val="1"/>
              </w:numPr>
              <w:jc w:val="both"/>
            </w:pPr>
            <w:r>
              <w:t>о</w:t>
            </w:r>
            <w:r w:rsidR="00F4641A" w:rsidRPr="004176B4">
              <w:t xml:space="preserve">бщая жёсткость &lt; </w:t>
            </w:r>
            <w:r w:rsidR="005D6D4F" w:rsidRPr="004176B4">
              <w:t xml:space="preserve">5 частей </w:t>
            </w:r>
            <w:proofErr w:type="spellStart"/>
            <w:r w:rsidR="005D6D4F" w:rsidRPr="005D6D4F">
              <w:rPr>
                <w:lang w:val="en-US"/>
              </w:rPr>
              <w:t>CaCO</w:t>
            </w:r>
            <w:proofErr w:type="spellEnd"/>
            <w:r w:rsidR="005D6D4F" w:rsidRPr="004176B4">
              <w:t>3</w:t>
            </w:r>
            <w:r w:rsidR="005D6D4F" w:rsidRPr="005D6D4F">
              <w:rPr>
                <w:lang w:val="en-US"/>
              </w:rPr>
              <w:t> </w:t>
            </w:r>
            <w:r w:rsidR="005D6D4F" w:rsidRPr="004176B4">
              <w:t xml:space="preserve">на </w:t>
            </w: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oMath>
            <w:r w:rsidR="005D6D4F" w:rsidRPr="004176B4">
              <w:t xml:space="preserve"> частей воды</w:t>
            </w:r>
          </w:p>
          <w:p w:rsidR="003567B3" w:rsidRPr="004176B4" w:rsidRDefault="003567B3" w:rsidP="005D6D4F">
            <w:pPr>
              <w:pStyle w:val="a4"/>
              <w:numPr>
                <w:ilvl w:val="0"/>
                <w:numId w:val="1"/>
              </w:numPr>
              <w:jc w:val="both"/>
            </w:pPr>
            <w:r>
              <w:t>электропроводность</w:t>
            </w:r>
            <w:r>
              <w:rPr>
                <w:lang w:val="en-US"/>
              </w:rPr>
              <w:t xml:space="preserve"> &lt; 1 000 </w:t>
            </w:r>
            <w:proofErr w:type="spellStart"/>
            <w:r w:rsidRPr="003567B3">
              <w:t>мкСм</w:t>
            </w:r>
            <w:proofErr w:type="spellEnd"/>
            <w:r w:rsidRPr="003567B3">
              <w:t>/</w:t>
            </w:r>
            <w:proofErr w:type="gramStart"/>
            <w:r w:rsidRPr="003567B3">
              <w:t>см</w:t>
            </w:r>
            <w:proofErr w:type="gramEnd"/>
          </w:p>
        </w:tc>
      </w:tr>
      <w:tr w:rsidR="008857F0" w:rsidRPr="00417B5E" w:rsidTr="00727D28">
        <w:tc>
          <w:tcPr>
            <w:tcW w:w="4928" w:type="dxa"/>
          </w:tcPr>
          <w:p w:rsidR="00124C21" w:rsidRDefault="00124C21" w:rsidP="00124C21">
            <w:pPr>
              <w:jc w:val="both"/>
              <w:rPr>
                <w:lang w:val="en-US"/>
              </w:rPr>
            </w:pPr>
            <w:proofErr w:type="spellStart"/>
            <w:r w:rsidRPr="00124C21">
              <w:t>Ventilation</w:t>
            </w:r>
            <w:proofErr w:type="spellEnd"/>
            <w:r>
              <w:rPr>
                <w:lang w:val="en-US"/>
              </w:rPr>
              <w:t>:</w:t>
            </w:r>
          </w:p>
          <w:p w:rsidR="008857F0" w:rsidRPr="00015803" w:rsidRDefault="00124C21" w:rsidP="00124C21">
            <w:pPr>
              <w:pStyle w:val="a4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Four room changes per hour</w:t>
            </w:r>
          </w:p>
        </w:tc>
        <w:tc>
          <w:tcPr>
            <w:tcW w:w="4643" w:type="dxa"/>
          </w:tcPr>
          <w:p w:rsidR="008857F0" w:rsidRDefault="008F2145">
            <w:r>
              <w:t>Воздухообмен:</w:t>
            </w:r>
          </w:p>
          <w:p w:rsidR="008F2145" w:rsidRPr="005A536E" w:rsidRDefault="008F2145" w:rsidP="007E01F0">
            <w:pPr>
              <w:pStyle w:val="a4"/>
              <w:numPr>
                <w:ilvl w:val="0"/>
                <w:numId w:val="2"/>
              </w:numPr>
            </w:pPr>
            <w:r>
              <w:t>Четыре раза в час</w:t>
            </w:r>
          </w:p>
        </w:tc>
      </w:tr>
      <w:tr w:rsidR="008857F0" w:rsidRPr="00280C3F" w:rsidTr="00727D28">
        <w:tc>
          <w:tcPr>
            <w:tcW w:w="4928" w:type="dxa"/>
          </w:tcPr>
          <w:p w:rsidR="009B3AFE" w:rsidRPr="009B3AFE" w:rsidRDefault="00D201C4" w:rsidP="00CD7B7F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PWGU</w:t>
            </w:r>
            <w:r w:rsidRPr="00015803">
              <w:rPr>
                <w:lang w:val="en-US"/>
              </w:rPr>
              <w:t xml:space="preserve"> will house a Siemens S7</w:t>
            </w:r>
            <w:r>
              <w:rPr>
                <w:lang w:val="en-US"/>
              </w:rPr>
              <w:t>-</w:t>
            </w:r>
            <w:r w:rsidRPr="00015803">
              <w:rPr>
                <w:lang w:val="en-US"/>
              </w:rPr>
              <w:t>series PLC with associated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input and output signals.</w:t>
            </w:r>
          </w:p>
        </w:tc>
        <w:tc>
          <w:tcPr>
            <w:tcW w:w="4643" w:type="dxa"/>
          </w:tcPr>
          <w:p w:rsidR="008857F0" w:rsidRPr="00280C3F" w:rsidRDefault="00280C3F">
            <w:r>
              <w:t xml:space="preserve">Управление Установкой </w:t>
            </w:r>
            <w:r>
              <w:rPr>
                <w:lang w:val="en-US"/>
              </w:rPr>
              <w:t>PWGU</w:t>
            </w:r>
            <w:r>
              <w:t xml:space="preserve"> осуществляется  ПЛК серии </w:t>
            </w:r>
            <w:r w:rsidRPr="00015803">
              <w:rPr>
                <w:lang w:val="en-US"/>
              </w:rPr>
              <w:t>Siemens</w:t>
            </w:r>
            <w:r w:rsidRPr="00280C3F">
              <w:t xml:space="preserve"> </w:t>
            </w:r>
            <w:r w:rsidRPr="00015803">
              <w:rPr>
                <w:lang w:val="en-US"/>
              </w:rPr>
              <w:t>S</w:t>
            </w:r>
            <w:r w:rsidRPr="00280C3F">
              <w:t>7</w:t>
            </w:r>
            <w:r>
              <w:t xml:space="preserve"> с соответствующими входными и выходными сигналами.</w:t>
            </w:r>
          </w:p>
        </w:tc>
      </w:tr>
      <w:tr w:rsidR="004376CE" w:rsidRPr="00727A36" w:rsidTr="00727D28">
        <w:tc>
          <w:tcPr>
            <w:tcW w:w="4928" w:type="dxa"/>
          </w:tcPr>
          <w:p w:rsidR="004376CE" w:rsidRPr="007A6673" w:rsidRDefault="004376CE" w:rsidP="004376CE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Outputs</w:t>
            </w:r>
            <w:r>
              <w:rPr>
                <w:lang w:val="en-US"/>
              </w:rPr>
              <w:t>:</w:t>
            </w:r>
          </w:p>
          <w:p w:rsidR="00D50768" w:rsidRDefault="004376CE" w:rsidP="004376CE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• 1 programmable 0/4 - 20 mA</w:t>
            </w:r>
          </w:p>
          <w:p w:rsidR="004376CE" w:rsidRPr="00015803" w:rsidRDefault="004376CE" w:rsidP="004376CE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>• 0.1% of 20 mA resolution</w:t>
            </w:r>
          </w:p>
          <w:p w:rsidR="00CD0D45" w:rsidRDefault="004376CE" w:rsidP="004376CE">
            <w:pPr>
              <w:jc w:val="both"/>
              <w:rPr>
                <w:lang w:val="en-US"/>
              </w:rPr>
            </w:pPr>
            <w:r w:rsidRPr="00015803">
              <w:rPr>
                <w:lang w:val="en-US"/>
              </w:rPr>
              <w:t xml:space="preserve">• </w:t>
            </w:r>
            <w:r w:rsidR="00CD0D45" w:rsidRPr="00015803">
              <w:rPr>
                <w:lang w:val="en-US"/>
              </w:rPr>
              <w:t>clock settings stored in battery backed RAM, battery P/N</w:t>
            </w:r>
            <w:r w:rsidR="00CD0D45">
              <w:rPr>
                <w:lang w:val="en-US"/>
              </w:rPr>
              <w:t xml:space="preserve"> </w:t>
            </w:r>
            <w:r w:rsidR="008F5EE5" w:rsidRPr="00015803">
              <w:rPr>
                <w:lang w:val="en-US"/>
              </w:rPr>
              <w:t>PD</w:t>
            </w:r>
            <w:r w:rsidR="00CD0D45" w:rsidRPr="00015803">
              <w:rPr>
                <w:lang w:val="en-US"/>
              </w:rPr>
              <w:t>235 or use equivalent 3V Lithium battery (BR2335), 5 year life</w:t>
            </w:r>
          </w:p>
          <w:p w:rsidR="004376CE" w:rsidRPr="00015803" w:rsidRDefault="004376CE" w:rsidP="002E3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PWGU</w:t>
            </w:r>
            <w:r w:rsidRPr="00015803">
              <w:rPr>
                <w:lang w:val="en-US"/>
              </w:rPr>
              <w:t xml:space="preserve"> support</w:t>
            </w:r>
            <w:r>
              <w:rPr>
                <w:lang w:val="en-US"/>
              </w:rPr>
              <w:t>s</w:t>
            </w:r>
            <w:r w:rsidRPr="00015803">
              <w:rPr>
                <w:lang w:val="en-US"/>
              </w:rPr>
              <w:t xml:space="preserve"> Modbus</w:t>
            </w:r>
            <w:r>
              <w:rPr>
                <w:lang w:val="en-US"/>
              </w:rPr>
              <w:t xml:space="preserve"> </w:t>
            </w:r>
            <w:r w:rsidRPr="00015803">
              <w:rPr>
                <w:lang w:val="en-US"/>
              </w:rPr>
              <w:t>protocol on the two RS-232 ports and the RS-485 port for communication to PLC.</w:t>
            </w:r>
          </w:p>
        </w:tc>
        <w:tc>
          <w:tcPr>
            <w:tcW w:w="4643" w:type="dxa"/>
          </w:tcPr>
          <w:p w:rsidR="004376CE" w:rsidRDefault="00280C3F">
            <w:r>
              <w:t>Выходы:</w:t>
            </w:r>
          </w:p>
          <w:p w:rsidR="007E01F0" w:rsidRDefault="007E01F0" w:rsidP="007E01F0">
            <w:pPr>
              <w:pStyle w:val="a4"/>
              <w:numPr>
                <w:ilvl w:val="0"/>
                <w:numId w:val="2"/>
              </w:numPr>
            </w:pPr>
            <w:r>
              <w:t xml:space="preserve">1 программируемый 0/4 </w:t>
            </w:r>
            <w:r w:rsidR="00873549" w:rsidRPr="00015803">
              <w:rPr>
                <w:lang w:val="en-US"/>
              </w:rPr>
              <w:t>-</w:t>
            </w:r>
            <w:r>
              <w:t xml:space="preserve"> 20 мА</w:t>
            </w:r>
          </w:p>
          <w:p w:rsidR="007E01F0" w:rsidRDefault="007E01F0" w:rsidP="00CD51EE">
            <w:pPr>
              <w:pStyle w:val="a4"/>
              <w:numPr>
                <w:ilvl w:val="0"/>
                <w:numId w:val="2"/>
              </w:numPr>
            </w:pPr>
            <w:r>
              <w:t>0,1</w:t>
            </w:r>
            <w:r>
              <w:rPr>
                <w:lang w:val="en-US"/>
              </w:rPr>
              <w:t xml:space="preserve">% </w:t>
            </w:r>
            <w:r>
              <w:t>разрешающей способности 20 мА</w:t>
            </w:r>
          </w:p>
          <w:p w:rsidR="007E01F0" w:rsidRPr="004176B4" w:rsidRDefault="007E01F0" w:rsidP="007E01F0">
            <w:pPr>
              <w:pStyle w:val="a4"/>
              <w:numPr>
                <w:ilvl w:val="0"/>
                <w:numId w:val="2"/>
              </w:numPr>
            </w:pPr>
            <w:r w:rsidRPr="007E01F0">
              <w:t>настройки часов хранятся в ОЗУ с р</w:t>
            </w:r>
            <w:r>
              <w:t>езервным питанием от батареи</w:t>
            </w:r>
            <w:r w:rsidR="00207F45">
              <w:t>:</w:t>
            </w:r>
            <w:r w:rsidR="00207F45" w:rsidRPr="00207F45">
              <w:t xml:space="preserve"> </w:t>
            </w:r>
            <w:r w:rsidR="00207F45" w:rsidRPr="00207F45">
              <w:br/>
            </w:r>
            <w:r>
              <w:t>P/</w:t>
            </w:r>
            <w:r w:rsidRPr="007E01F0">
              <w:t xml:space="preserve">N PD235 </w:t>
            </w:r>
            <w:r w:rsidR="00207F45">
              <w:t>или эквивалентной 3</w:t>
            </w:r>
            <w:proofErr w:type="gramStart"/>
            <w:r w:rsidR="00207F45">
              <w:t xml:space="preserve"> В</w:t>
            </w:r>
            <w:proofErr w:type="gramEnd"/>
            <w:r w:rsidRPr="007E01F0">
              <w:t xml:space="preserve"> литиев</w:t>
            </w:r>
            <w:r w:rsidR="00207F45">
              <w:t>ой</w:t>
            </w:r>
            <w:r w:rsidRPr="007E01F0">
              <w:t xml:space="preserve"> батаре</w:t>
            </w:r>
            <w:r w:rsidR="00207F45">
              <w:t>и</w:t>
            </w:r>
            <w:r w:rsidRPr="007E01F0">
              <w:t xml:space="preserve"> (BR2335)</w:t>
            </w:r>
            <w:r w:rsidR="00207F45">
              <w:t xml:space="preserve"> со сроком службы 5 лет</w:t>
            </w:r>
          </w:p>
          <w:p w:rsidR="00D50768" w:rsidRPr="00727A36" w:rsidRDefault="00727A36" w:rsidP="00CD51EE">
            <w:r>
              <w:t xml:space="preserve">Взаимодействие с ПЛК </w:t>
            </w:r>
            <w:r w:rsidR="00CD51EE">
              <w:t>осуществляется</w:t>
            </w:r>
            <w:r>
              <w:t xml:space="preserve"> с помощью </w:t>
            </w:r>
            <w:r w:rsidR="0093376E">
              <w:t xml:space="preserve">двух </w:t>
            </w:r>
            <w:r>
              <w:t xml:space="preserve">портов </w:t>
            </w:r>
            <w:r w:rsidRPr="00015803">
              <w:rPr>
                <w:lang w:val="en-US"/>
              </w:rPr>
              <w:t>RS</w:t>
            </w:r>
            <w:r w:rsidRPr="00727A36">
              <w:t>-232</w:t>
            </w:r>
            <w:r>
              <w:t xml:space="preserve"> и</w:t>
            </w:r>
            <w:r w:rsidR="0093376E">
              <w:t xml:space="preserve"> одного</w:t>
            </w:r>
            <w:r>
              <w:t xml:space="preserve"> </w:t>
            </w:r>
            <w:r w:rsidR="0093376E">
              <w:t xml:space="preserve">порта </w:t>
            </w:r>
            <w:r w:rsidRPr="00015803">
              <w:rPr>
                <w:lang w:val="en-US"/>
              </w:rPr>
              <w:t>RS</w:t>
            </w:r>
            <w:r w:rsidRPr="00727A36">
              <w:t>-485</w:t>
            </w:r>
            <w:r>
              <w:t xml:space="preserve"> через протокол </w:t>
            </w:r>
            <w:r>
              <w:rPr>
                <w:lang w:val="en-US"/>
              </w:rPr>
              <w:t>Modbus</w:t>
            </w:r>
            <w:r w:rsidRPr="00727A36">
              <w:t>.</w:t>
            </w:r>
            <w:r>
              <w:t xml:space="preserve"> </w:t>
            </w:r>
          </w:p>
        </w:tc>
      </w:tr>
    </w:tbl>
    <w:p w:rsidR="00B14097" w:rsidRPr="00727A36" w:rsidRDefault="00B14097"/>
    <w:sectPr w:rsidR="00B14097" w:rsidRPr="0072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F82"/>
    <w:multiLevelType w:val="hybridMultilevel"/>
    <w:tmpl w:val="87F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7AB2"/>
    <w:multiLevelType w:val="hybridMultilevel"/>
    <w:tmpl w:val="818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5A0A"/>
    <w:multiLevelType w:val="hybridMultilevel"/>
    <w:tmpl w:val="DB7C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D3"/>
    <w:rsid w:val="00015803"/>
    <w:rsid w:val="00025D3C"/>
    <w:rsid w:val="00033366"/>
    <w:rsid w:val="00037B2E"/>
    <w:rsid w:val="00041BFE"/>
    <w:rsid w:val="000547D6"/>
    <w:rsid w:val="00054A1D"/>
    <w:rsid w:val="00054AB4"/>
    <w:rsid w:val="000627FF"/>
    <w:rsid w:val="0007787B"/>
    <w:rsid w:val="00086259"/>
    <w:rsid w:val="00124C21"/>
    <w:rsid w:val="00133098"/>
    <w:rsid w:val="001541A6"/>
    <w:rsid w:val="001A66BA"/>
    <w:rsid w:val="001B09EF"/>
    <w:rsid w:val="001B1D94"/>
    <w:rsid w:val="001B5F02"/>
    <w:rsid w:val="001E51C7"/>
    <w:rsid w:val="001E73C4"/>
    <w:rsid w:val="001E7ABA"/>
    <w:rsid w:val="00207394"/>
    <w:rsid w:val="00207F45"/>
    <w:rsid w:val="0021490D"/>
    <w:rsid w:val="00223358"/>
    <w:rsid w:val="0025188D"/>
    <w:rsid w:val="00270687"/>
    <w:rsid w:val="00280C3F"/>
    <w:rsid w:val="00282380"/>
    <w:rsid w:val="0029192D"/>
    <w:rsid w:val="002E2305"/>
    <w:rsid w:val="002E3E31"/>
    <w:rsid w:val="002E7016"/>
    <w:rsid w:val="00350D81"/>
    <w:rsid w:val="00353B36"/>
    <w:rsid w:val="003567B3"/>
    <w:rsid w:val="003604B5"/>
    <w:rsid w:val="003621C0"/>
    <w:rsid w:val="00362862"/>
    <w:rsid w:val="00374211"/>
    <w:rsid w:val="0039547A"/>
    <w:rsid w:val="003A1AFC"/>
    <w:rsid w:val="003C1B64"/>
    <w:rsid w:val="003D2AA2"/>
    <w:rsid w:val="00412D21"/>
    <w:rsid w:val="004176B4"/>
    <w:rsid w:val="00417B5E"/>
    <w:rsid w:val="004376CE"/>
    <w:rsid w:val="004438D3"/>
    <w:rsid w:val="00472E01"/>
    <w:rsid w:val="00480E71"/>
    <w:rsid w:val="004873AF"/>
    <w:rsid w:val="004D0A7A"/>
    <w:rsid w:val="004D7752"/>
    <w:rsid w:val="0050302C"/>
    <w:rsid w:val="0052424D"/>
    <w:rsid w:val="005338DA"/>
    <w:rsid w:val="005449F0"/>
    <w:rsid w:val="005505A0"/>
    <w:rsid w:val="005664D3"/>
    <w:rsid w:val="005A4DC6"/>
    <w:rsid w:val="005A536E"/>
    <w:rsid w:val="005D5B2A"/>
    <w:rsid w:val="005D6D4F"/>
    <w:rsid w:val="005F4665"/>
    <w:rsid w:val="00606059"/>
    <w:rsid w:val="00612431"/>
    <w:rsid w:val="006145A2"/>
    <w:rsid w:val="0062733A"/>
    <w:rsid w:val="006364C7"/>
    <w:rsid w:val="006838F3"/>
    <w:rsid w:val="0068791B"/>
    <w:rsid w:val="006A07DA"/>
    <w:rsid w:val="006A6CA9"/>
    <w:rsid w:val="006D2235"/>
    <w:rsid w:val="00705369"/>
    <w:rsid w:val="00723576"/>
    <w:rsid w:val="00727A36"/>
    <w:rsid w:val="00727D28"/>
    <w:rsid w:val="007523AF"/>
    <w:rsid w:val="00771DED"/>
    <w:rsid w:val="007730A7"/>
    <w:rsid w:val="00773A91"/>
    <w:rsid w:val="007772E2"/>
    <w:rsid w:val="007A6673"/>
    <w:rsid w:val="007E01F0"/>
    <w:rsid w:val="0083387F"/>
    <w:rsid w:val="0083416E"/>
    <w:rsid w:val="008353D6"/>
    <w:rsid w:val="008609AA"/>
    <w:rsid w:val="00860BE9"/>
    <w:rsid w:val="00873549"/>
    <w:rsid w:val="00877DCD"/>
    <w:rsid w:val="008857F0"/>
    <w:rsid w:val="0088718F"/>
    <w:rsid w:val="008A5174"/>
    <w:rsid w:val="008B6A24"/>
    <w:rsid w:val="008C4C28"/>
    <w:rsid w:val="008F2145"/>
    <w:rsid w:val="008F5EE5"/>
    <w:rsid w:val="00903E92"/>
    <w:rsid w:val="00925A08"/>
    <w:rsid w:val="0093376E"/>
    <w:rsid w:val="0094289D"/>
    <w:rsid w:val="00947EB4"/>
    <w:rsid w:val="00962B1B"/>
    <w:rsid w:val="009867A1"/>
    <w:rsid w:val="00987DA3"/>
    <w:rsid w:val="009B3AFE"/>
    <w:rsid w:val="00A16E4E"/>
    <w:rsid w:val="00A319F4"/>
    <w:rsid w:val="00A332E9"/>
    <w:rsid w:val="00A34BE2"/>
    <w:rsid w:val="00A64590"/>
    <w:rsid w:val="00AD2794"/>
    <w:rsid w:val="00B14097"/>
    <w:rsid w:val="00B25FC9"/>
    <w:rsid w:val="00B57D59"/>
    <w:rsid w:val="00B62AA4"/>
    <w:rsid w:val="00B92E51"/>
    <w:rsid w:val="00B96C98"/>
    <w:rsid w:val="00BD2B37"/>
    <w:rsid w:val="00BF45A5"/>
    <w:rsid w:val="00BF69F4"/>
    <w:rsid w:val="00C102D2"/>
    <w:rsid w:val="00C128B1"/>
    <w:rsid w:val="00C565F6"/>
    <w:rsid w:val="00C6771F"/>
    <w:rsid w:val="00CD0D45"/>
    <w:rsid w:val="00CD51EE"/>
    <w:rsid w:val="00CD7B7F"/>
    <w:rsid w:val="00D06A77"/>
    <w:rsid w:val="00D166DE"/>
    <w:rsid w:val="00D201C4"/>
    <w:rsid w:val="00D457AB"/>
    <w:rsid w:val="00D50768"/>
    <w:rsid w:val="00DB7D07"/>
    <w:rsid w:val="00DF2392"/>
    <w:rsid w:val="00E1726C"/>
    <w:rsid w:val="00E27569"/>
    <w:rsid w:val="00E30099"/>
    <w:rsid w:val="00ED2F38"/>
    <w:rsid w:val="00ED651E"/>
    <w:rsid w:val="00EF18E6"/>
    <w:rsid w:val="00EF540C"/>
    <w:rsid w:val="00F4641A"/>
    <w:rsid w:val="00F706EC"/>
    <w:rsid w:val="00F738FE"/>
    <w:rsid w:val="00F74B46"/>
    <w:rsid w:val="00F96818"/>
    <w:rsid w:val="00FB7491"/>
    <w:rsid w:val="00FD61C5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A24"/>
    <w:pPr>
      <w:ind w:left="720"/>
      <w:contextualSpacing/>
    </w:pPr>
  </w:style>
  <w:style w:type="character" w:styleId="a5">
    <w:name w:val="Strong"/>
    <w:uiPriority w:val="99"/>
    <w:qFormat/>
    <w:rsid w:val="00015803"/>
    <w:rPr>
      <w:rFonts w:cs="Times New Roman"/>
      <w:b/>
    </w:rPr>
  </w:style>
  <w:style w:type="character" w:styleId="a6">
    <w:name w:val="Emphasis"/>
    <w:basedOn w:val="a0"/>
    <w:uiPriority w:val="20"/>
    <w:qFormat/>
    <w:rsid w:val="00606059"/>
    <w:rPr>
      <w:i/>
      <w:iCs/>
    </w:rPr>
  </w:style>
  <w:style w:type="character" w:styleId="a7">
    <w:name w:val="Placeholder Text"/>
    <w:basedOn w:val="a0"/>
    <w:uiPriority w:val="99"/>
    <w:semiHidden/>
    <w:rsid w:val="005D6D4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D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A24"/>
    <w:pPr>
      <w:ind w:left="720"/>
      <w:contextualSpacing/>
    </w:pPr>
  </w:style>
  <w:style w:type="character" w:styleId="a5">
    <w:name w:val="Strong"/>
    <w:uiPriority w:val="99"/>
    <w:qFormat/>
    <w:rsid w:val="00015803"/>
    <w:rPr>
      <w:rFonts w:cs="Times New Roman"/>
      <w:b/>
    </w:rPr>
  </w:style>
  <w:style w:type="character" w:styleId="a6">
    <w:name w:val="Emphasis"/>
    <w:basedOn w:val="a0"/>
    <w:uiPriority w:val="20"/>
    <w:qFormat/>
    <w:rsid w:val="00606059"/>
    <w:rPr>
      <w:i/>
      <w:iCs/>
    </w:rPr>
  </w:style>
  <w:style w:type="character" w:styleId="a7">
    <w:name w:val="Placeholder Text"/>
    <w:basedOn w:val="a0"/>
    <w:uiPriority w:val="99"/>
    <w:semiHidden/>
    <w:rsid w:val="005D6D4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D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Chernyuk Anton</dc:creator>
  <cp:keywords/>
  <dc:description/>
  <cp:lastModifiedBy>777</cp:lastModifiedBy>
  <cp:revision>171</cp:revision>
  <dcterms:created xsi:type="dcterms:W3CDTF">2017-11-14T15:20:00Z</dcterms:created>
  <dcterms:modified xsi:type="dcterms:W3CDTF">2019-09-28T19:57:00Z</dcterms:modified>
</cp:coreProperties>
</file>