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B69" w:rsidRDefault="00CF14A7" w:rsidP="00CF14A7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>Страница 146</w:t>
      </w:r>
    </w:p>
    <w:p w:rsidR="00CF14A7" w:rsidRPr="00CF14A7" w:rsidRDefault="00190940" w:rsidP="00CF14A7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Главные</w:t>
      </w:r>
      <w:r w:rsidR="00E959E1">
        <w:rPr>
          <w:rFonts w:asciiTheme="majorBidi" w:hAnsiTheme="majorBidi" w:cstheme="majorBidi"/>
          <w:sz w:val="24"/>
          <w:szCs w:val="24"/>
        </w:rPr>
        <w:t xml:space="preserve"> моменты:</w:t>
      </w:r>
    </w:p>
    <w:p w:rsidR="00CF14A7" w:rsidRPr="00E826B0" w:rsidRDefault="00177DA6" w:rsidP="00E826B0">
      <w:pPr>
        <w:pStyle w:val="ListParagraph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E826B0">
        <w:rPr>
          <w:rFonts w:asciiTheme="majorBidi" w:hAnsiTheme="majorBidi" w:cstheme="majorBidi"/>
          <w:sz w:val="24"/>
          <w:szCs w:val="24"/>
        </w:rPr>
        <w:t>На всех т</w:t>
      </w:r>
      <w:r w:rsidR="00E15657" w:rsidRPr="00E826B0">
        <w:rPr>
          <w:rFonts w:asciiTheme="majorBidi" w:hAnsiTheme="majorBidi" w:cstheme="majorBidi"/>
          <w:sz w:val="24"/>
          <w:szCs w:val="24"/>
        </w:rPr>
        <w:t>рех ступенях образования большинство преподавателей - женщины</w:t>
      </w:r>
      <w:r w:rsidR="00E826B0">
        <w:rPr>
          <w:rFonts w:asciiTheme="majorBidi" w:hAnsiTheme="majorBidi" w:cstheme="majorBidi"/>
          <w:sz w:val="24"/>
          <w:szCs w:val="24"/>
        </w:rPr>
        <w:t xml:space="preserve">. </w:t>
      </w:r>
      <w:r w:rsidR="00E15657" w:rsidRPr="00E826B0">
        <w:rPr>
          <w:rFonts w:asciiTheme="majorBidi" w:hAnsiTheme="majorBidi" w:cstheme="majorBidi"/>
          <w:sz w:val="24"/>
          <w:szCs w:val="24"/>
        </w:rPr>
        <w:t>Однако относительные пропорции учителей мужского и женского пола</w:t>
      </w:r>
      <w:r w:rsidR="00CF14A7" w:rsidRPr="00E826B0">
        <w:rPr>
          <w:rFonts w:asciiTheme="majorBidi" w:hAnsiTheme="majorBidi" w:cstheme="majorBidi"/>
          <w:sz w:val="24"/>
          <w:szCs w:val="24"/>
        </w:rPr>
        <w:t xml:space="preserve"> </w:t>
      </w:r>
      <w:r w:rsidRPr="00E826B0">
        <w:rPr>
          <w:rFonts w:asciiTheme="majorBidi" w:hAnsiTheme="majorBidi" w:cstheme="majorBidi"/>
          <w:sz w:val="24"/>
          <w:szCs w:val="24"/>
        </w:rPr>
        <w:t xml:space="preserve">на разных образовательных уровнях различны. Пропорция учителей женского пола в начальной шклое выше чем в средней. </w:t>
      </w:r>
    </w:p>
    <w:p w:rsidR="00E826B0" w:rsidRDefault="00177DA6" w:rsidP="00E826B0">
      <w:pPr>
        <w:pStyle w:val="ListParagraph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E826B0">
        <w:rPr>
          <w:rFonts w:asciiTheme="majorBidi" w:hAnsiTheme="majorBidi" w:cstheme="majorBidi"/>
          <w:sz w:val="24"/>
          <w:szCs w:val="24"/>
        </w:rPr>
        <w:t xml:space="preserve">Дальнейшая поддержка учителей в работе с учащимися со специальными нуждами востребована на всех образовательных ступенях. Данные требования видны из отчетов преподавателей касательно наиболее желаемых областей дальнейшего профессионального развития, и из  отчетов директоров школ, где нередко упоминается </w:t>
      </w:r>
      <w:r w:rsidR="00CF14A7" w:rsidRPr="00E826B0">
        <w:rPr>
          <w:rFonts w:asciiTheme="majorBidi" w:hAnsiTheme="majorBidi" w:cstheme="majorBidi"/>
          <w:sz w:val="24"/>
          <w:szCs w:val="24"/>
        </w:rPr>
        <w:t xml:space="preserve"> </w:t>
      </w:r>
      <w:r w:rsidRPr="00E826B0">
        <w:rPr>
          <w:rFonts w:asciiTheme="majorBidi" w:hAnsiTheme="majorBidi" w:cstheme="majorBidi"/>
          <w:sz w:val="24"/>
          <w:szCs w:val="24"/>
        </w:rPr>
        <w:t xml:space="preserve">недостаток учителей, компетентных в работе со студентами со специальными нуждами.  </w:t>
      </w:r>
    </w:p>
    <w:p w:rsidR="00CF14A7" w:rsidRPr="00E826B0" w:rsidRDefault="00177DA6" w:rsidP="00E826B0">
      <w:pPr>
        <w:pStyle w:val="ListParagraph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E826B0">
        <w:rPr>
          <w:rFonts w:asciiTheme="majorBidi" w:hAnsiTheme="majorBidi" w:cstheme="majorBidi"/>
          <w:sz w:val="24"/>
          <w:szCs w:val="24"/>
        </w:rPr>
        <w:t xml:space="preserve">Навыки работы в смешанных классах со студентами с ограниченными возможностями и их дееспособными коллегами, наряду с навыками в работе с новейшими технологиями, согласно мнению самих учителей, более востребованы в начальной шклое и первой ступени средней школыв, чем в старших классах средней школы. </w:t>
      </w:r>
      <w:r w:rsidR="00CF14A7" w:rsidRPr="00E826B0">
        <w:rPr>
          <w:rFonts w:asciiTheme="majorBidi" w:hAnsiTheme="majorBidi" w:cstheme="majorBidi"/>
          <w:sz w:val="24"/>
          <w:szCs w:val="24"/>
        </w:rPr>
        <w:t xml:space="preserve"> </w:t>
      </w:r>
      <w:r w:rsidRPr="00E826B0">
        <w:rPr>
          <w:rFonts w:asciiTheme="majorBidi" w:hAnsiTheme="majorBidi" w:cstheme="majorBidi"/>
          <w:sz w:val="24"/>
          <w:szCs w:val="24"/>
        </w:rPr>
        <w:t xml:space="preserve"> </w:t>
      </w:r>
    </w:p>
    <w:p w:rsidR="00E826B0" w:rsidRDefault="00177DA6" w:rsidP="00E826B0">
      <w:pPr>
        <w:pStyle w:val="ListParagraph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E826B0">
        <w:rPr>
          <w:rFonts w:asciiTheme="majorBidi" w:hAnsiTheme="majorBidi" w:cstheme="majorBidi"/>
          <w:sz w:val="24"/>
          <w:szCs w:val="24"/>
        </w:rPr>
        <w:t>Более того, учителя начальной и начальной средней школы, согласно отчетам директоров школ, более часто работают в условиях нехватки оборудования и программного обеспечения для смешанных классов, включающих детей с ограниченными способностями и их дееспособных одноклассников</w:t>
      </w:r>
      <w:r w:rsidR="00E826B0" w:rsidRPr="00E826B0">
        <w:rPr>
          <w:rFonts w:asciiTheme="majorBidi" w:hAnsiTheme="majorBidi" w:cstheme="majorBidi"/>
          <w:sz w:val="24"/>
          <w:szCs w:val="24"/>
        </w:rPr>
        <w:t xml:space="preserve"> (здесь и далее – «смешанный класс»)</w:t>
      </w:r>
      <w:r w:rsidRPr="00E826B0">
        <w:rPr>
          <w:rFonts w:asciiTheme="majorBidi" w:hAnsiTheme="majorBidi" w:cstheme="majorBidi"/>
          <w:sz w:val="24"/>
          <w:szCs w:val="24"/>
        </w:rPr>
        <w:t xml:space="preserve">, по сравнению с их коллегами, работающими в старших классах. </w:t>
      </w:r>
      <w:r w:rsidR="00CF14A7" w:rsidRPr="00E826B0">
        <w:rPr>
          <w:rFonts w:asciiTheme="majorBidi" w:hAnsiTheme="majorBidi" w:cstheme="majorBidi"/>
          <w:sz w:val="24"/>
          <w:szCs w:val="24"/>
        </w:rPr>
        <w:t xml:space="preserve"> </w:t>
      </w:r>
      <w:r w:rsidRPr="00E826B0">
        <w:rPr>
          <w:rFonts w:asciiTheme="majorBidi" w:hAnsiTheme="majorBidi" w:cstheme="majorBidi"/>
          <w:sz w:val="24"/>
          <w:szCs w:val="24"/>
        </w:rPr>
        <w:t xml:space="preserve"> </w:t>
      </w:r>
    </w:p>
    <w:p w:rsidR="00CF14A7" w:rsidRDefault="00177DA6" w:rsidP="00190940">
      <w:pPr>
        <w:pStyle w:val="ListParagraph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E826B0">
        <w:rPr>
          <w:rFonts w:asciiTheme="majorBidi" w:hAnsiTheme="majorBidi" w:cstheme="majorBidi"/>
          <w:sz w:val="24"/>
          <w:szCs w:val="24"/>
        </w:rPr>
        <w:t>Однако в разных странах наблюдаются различные показатели</w:t>
      </w:r>
      <w:r w:rsidR="00CF14A7" w:rsidRPr="00E826B0">
        <w:rPr>
          <w:rFonts w:asciiTheme="majorBidi" w:hAnsiTheme="majorBidi" w:cstheme="majorBidi"/>
          <w:sz w:val="24"/>
          <w:szCs w:val="24"/>
        </w:rPr>
        <w:t xml:space="preserve">. </w:t>
      </w:r>
      <w:r w:rsidRPr="00E826B0">
        <w:rPr>
          <w:rFonts w:asciiTheme="majorBidi" w:hAnsiTheme="majorBidi" w:cstheme="majorBidi"/>
          <w:sz w:val="24"/>
          <w:szCs w:val="24"/>
        </w:rPr>
        <w:t>В целом</w:t>
      </w:r>
      <w:r w:rsidR="00CF14A7" w:rsidRPr="00E826B0">
        <w:rPr>
          <w:rFonts w:asciiTheme="majorBidi" w:hAnsiTheme="majorBidi" w:cstheme="majorBidi"/>
          <w:sz w:val="24"/>
          <w:szCs w:val="24"/>
        </w:rPr>
        <w:t xml:space="preserve">, </w:t>
      </w:r>
      <w:r w:rsidRPr="00E826B0">
        <w:rPr>
          <w:rFonts w:asciiTheme="majorBidi" w:hAnsiTheme="majorBidi" w:cstheme="majorBidi"/>
          <w:sz w:val="24"/>
          <w:szCs w:val="24"/>
        </w:rPr>
        <w:t xml:space="preserve">Сингапур и Австралия находятся в числе </w:t>
      </w:r>
      <w:r w:rsidR="00E826B0" w:rsidRPr="00E826B0">
        <w:rPr>
          <w:rFonts w:asciiTheme="majorBidi" w:hAnsiTheme="majorBidi" w:cstheme="majorBidi"/>
          <w:sz w:val="24"/>
          <w:szCs w:val="24"/>
        </w:rPr>
        <w:t>стран с наименьшим показателем недостатка оборудования</w:t>
      </w:r>
      <w:r w:rsidR="00E826B0">
        <w:rPr>
          <w:rFonts w:asciiTheme="majorBidi" w:hAnsiTheme="majorBidi" w:cstheme="majorBidi"/>
          <w:sz w:val="24"/>
          <w:szCs w:val="24"/>
        </w:rPr>
        <w:t xml:space="preserve"> и обучающих материалов</w:t>
      </w:r>
      <w:r w:rsidR="00E826B0" w:rsidRPr="00E826B0">
        <w:rPr>
          <w:rFonts w:asciiTheme="majorBidi" w:hAnsiTheme="majorBidi" w:cstheme="majorBidi"/>
          <w:sz w:val="24"/>
          <w:szCs w:val="24"/>
        </w:rPr>
        <w:t xml:space="preserve"> для смешанных классов </w:t>
      </w:r>
      <w:r w:rsidR="00190940">
        <w:rPr>
          <w:rFonts w:asciiTheme="majorBidi" w:hAnsiTheme="majorBidi" w:cstheme="majorBidi"/>
          <w:sz w:val="24"/>
          <w:szCs w:val="24"/>
        </w:rPr>
        <w:t xml:space="preserve">с незначительной разницей в данном показателе между начальным, средним и старшим средним уровнями школы. </w:t>
      </w:r>
    </w:p>
    <w:p w:rsidR="00CF14A7" w:rsidRDefault="00190940" w:rsidP="00190940">
      <w:pPr>
        <w:pStyle w:val="ListParagraph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В целом, учителя начальной школы гораздо чаще, в сравнении с учителями средней школы, говорят о том, что их требования  касательно большинства аспектов их работы в большинстве случаев удовлетворяются. Карьерный рост и финансовое премирование, однако, в данную категорию не входят. </w:t>
      </w:r>
    </w:p>
    <w:p w:rsidR="00CF14A7" w:rsidRDefault="00190940" w:rsidP="00190940">
      <w:pPr>
        <w:pStyle w:val="ListParagraph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В среднем, преподаватели старших класов средней школы более уверены в ценности своей работы, по сравнению с их коллегами в младшей и младшей средней школе. Однако данный показатель неодинаков для всех стран. В то же время абсолютное большинство всех опрошенных учителей всех категорий во всех странах говорит об общей удовлетворенности своей работой. </w:t>
      </w:r>
    </w:p>
    <w:p w:rsidR="00190940" w:rsidRPr="00CF14A7" w:rsidRDefault="00190940" w:rsidP="00190940">
      <w:pPr>
        <w:pStyle w:val="ListParagraph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В целом, учителя показывают высокий уровенб удовлетворенности эффективностью своей работы во всех странах и на всех образовательных уровнях, учитывая, однако, что учителя начальной школы чувствуют себя более уверенно в процессе мотивации учащихся, если сравнивать их с учителями работающих в средней и старшей школах. </w:t>
      </w:r>
    </w:p>
    <w:p w:rsidR="00CF14A7" w:rsidRPr="00190940" w:rsidRDefault="00190940" w:rsidP="00236F55">
      <w:pPr>
        <w:pStyle w:val="Pa30"/>
        <w:spacing w:before="40"/>
        <w:jc w:val="both"/>
        <w:rPr>
          <w:rFonts w:asciiTheme="majorBidi" w:hAnsiTheme="majorBidi" w:cstheme="majorBidi"/>
          <w:color w:val="000000"/>
          <w:lang w:val="ru-RU"/>
        </w:rPr>
      </w:pPr>
      <w:r>
        <w:rPr>
          <w:rFonts w:asciiTheme="majorBidi" w:hAnsiTheme="majorBidi" w:cstheme="majorBidi"/>
          <w:b/>
          <w:bCs/>
          <w:color w:val="000000"/>
          <w:lang w:val="ru-RU"/>
        </w:rPr>
        <w:lastRenderedPageBreak/>
        <w:t>ВВЕДЕНИЕ</w:t>
      </w:r>
    </w:p>
    <w:p w:rsidR="00236F55" w:rsidRDefault="00190940" w:rsidP="001400A8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Предыдущие статьи рассматривали ключевые характеристики учителей и их рабочей среды в начальной и старшей средней школах в учавствующих в исследовании странах и экономических зонах</w:t>
      </w:r>
      <w:r w:rsidR="0065387B">
        <w:rPr>
          <w:rFonts w:asciiTheme="majorBidi" w:hAnsiTheme="majorBidi" w:cstheme="majorBidi"/>
          <w:color w:val="000000"/>
          <w:sz w:val="24"/>
          <w:szCs w:val="24"/>
        </w:rPr>
        <w:t>.</w:t>
      </w:r>
      <w:r w:rsidR="00CF14A7" w:rsidRPr="00236F5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C95B8A">
        <w:rPr>
          <w:rFonts w:asciiTheme="majorBidi" w:hAnsiTheme="majorBidi" w:cstheme="majorBidi"/>
          <w:color w:val="000000"/>
          <w:sz w:val="24"/>
          <w:szCs w:val="24"/>
        </w:rPr>
        <w:t xml:space="preserve">Данная статья опирается на эти данные, а также на Результаты </w:t>
      </w:r>
      <w:r w:rsidR="00CF14A7" w:rsidRPr="00236F5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C1599F">
        <w:rPr>
          <w:rFonts w:asciiTheme="majorBidi" w:hAnsiTheme="majorBidi" w:cstheme="majorBidi"/>
          <w:color w:val="000000"/>
          <w:sz w:val="24"/>
          <w:szCs w:val="24"/>
        </w:rPr>
        <w:t>Международн</w:t>
      </w:r>
      <w:r w:rsidR="00C95B8A">
        <w:rPr>
          <w:rFonts w:asciiTheme="majorBidi" w:hAnsiTheme="majorBidi" w:cstheme="majorBidi"/>
          <w:color w:val="000000"/>
          <w:sz w:val="24"/>
          <w:szCs w:val="24"/>
        </w:rPr>
        <w:t>ого</w:t>
      </w:r>
      <w:r w:rsidR="00C1599F">
        <w:rPr>
          <w:rFonts w:asciiTheme="majorBidi" w:hAnsiTheme="majorBidi" w:cstheme="majorBidi"/>
          <w:color w:val="000000"/>
          <w:sz w:val="24"/>
          <w:szCs w:val="24"/>
        </w:rPr>
        <w:t xml:space="preserve"> Соцопрос</w:t>
      </w:r>
      <w:r w:rsidR="00C95B8A">
        <w:rPr>
          <w:rFonts w:asciiTheme="majorBidi" w:hAnsiTheme="majorBidi" w:cstheme="majorBidi"/>
          <w:color w:val="000000"/>
          <w:sz w:val="24"/>
          <w:szCs w:val="24"/>
        </w:rPr>
        <w:t>а</w:t>
      </w:r>
      <w:r w:rsidR="00C1599F">
        <w:rPr>
          <w:rFonts w:asciiTheme="majorBidi" w:hAnsiTheme="majorBidi" w:cstheme="majorBidi"/>
          <w:color w:val="000000"/>
          <w:sz w:val="24"/>
          <w:szCs w:val="24"/>
        </w:rPr>
        <w:t xml:space="preserve"> о Преподавании и Обучении </w:t>
      </w:r>
      <w:r w:rsidR="00C95B8A">
        <w:rPr>
          <w:rFonts w:asciiTheme="majorBidi" w:hAnsiTheme="majorBidi" w:cstheme="majorBidi"/>
          <w:color w:val="000000"/>
          <w:sz w:val="24"/>
          <w:szCs w:val="24"/>
        </w:rPr>
        <w:t xml:space="preserve">за </w:t>
      </w:r>
      <w:r w:rsidR="00CF14A7" w:rsidRPr="00236F55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2013 </w:t>
      </w:r>
      <w:r w:rsidR="00C95B8A">
        <w:rPr>
          <w:rFonts w:asciiTheme="majorBidi" w:hAnsiTheme="majorBidi" w:cstheme="majorBidi"/>
          <w:i/>
          <w:iCs/>
          <w:color w:val="000000"/>
          <w:sz w:val="24"/>
          <w:szCs w:val="24"/>
        </w:rPr>
        <w:t>год</w:t>
      </w:r>
      <w:r w:rsidR="00CF14A7" w:rsidRPr="00236F55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: </w:t>
      </w:r>
      <w:r w:rsidR="00C95B8A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Международный обзор преподавания и обучения </w:t>
      </w:r>
      <w:r w:rsidR="00CF14A7" w:rsidRPr="00236F55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 </w:t>
      </w:r>
      <w:r w:rsidR="00CF14A7" w:rsidRPr="00236F55">
        <w:rPr>
          <w:rFonts w:asciiTheme="majorBidi" w:hAnsiTheme="majorBidi" w:cstheme="majorBidi"/>
          <w:color w:val="000000"/>
          <w:sz w:val="24"/>
          <w:szCs w:val="24"/>
        </w:rPr>
        <w:t>(</w:t>
      </w:r>
      <w:r w:rsidR="00C1599F">
        <w:rPr>
          <w:rFonts w:asciiTheme="majorBidi" w:hAnsiTheme="majorBidi" w:cstheme="majorBidi"/>
          <w:color w:val="000000"/>
          <w:sz w:val="24"/>
          <w:szCs w:val="24"/>
        </w:rPr>
        <w:t xml:space="preserve">Организация Экономического Сотрудничества и Развития (здесь и далее – </w:t>
      </w:r>
      <w:r w:rsidR="00C1599F">
        <w:rPr>
          <w:rFonts w:asciiTheme="majorBidi" w:hAnsiTheme="majorBidi" w:cstheme="majorBidi"/>
          <w:color w:val="000000"/>
          <w:sz w:val="24"/>
          <w:szCs w:val="24"/>
          <w:lang w:val="en-US"/>
        </w:rPr>
        <w:t>O</w:t>
      </w:r>
      <w:r w:rsidR="00C1599F">
        <w:rPr>
          <w:rFonts w:asciiTheme="majorBidi" w:hAnsiTheme="majorBidi" w:cstheme="majorBidi"/>
          <w:color w:val="000000"/>
          <w:sz w:val="24"/>
          <w:szCs w:val="24"/>
        </w:rPr>
        <w:t>ЭСР)</w:t>
      </w:r>
      <w:r w:rsidR="00CF14A7" w:rsidRPr="00236F55">
        <w:rPr>
          <w:rFonts w:asciiTheme="majorBidi" w:hAnsiTheme="majorBidi" w:cstheme="majorBidi"/>
          <w:color w:val="000000"/>
          <w:sz w:val="24"/>
          <w:szCs w:val="24"/>
        </w:rPr>
        <w:t xml:space="preserve">, 2014) </w:t>
      </w:r>
      <w:r w:rsidR="00C95B8A">
        <w:rPr>
          <w:rFonts w:asciiTheme="majorBidi" w:hAnsiTheme="majorBidi" w:cstheme="majorBidi"/>
          <w:color w:val="000000"/>
          <w:sz w:val="24"/>
          <w:szCs w:val="24"/>
        </w:rPr>
        <w:t>и предоставляет сравнение</w:t>
      </w:r>
      <w:r w:rsidR="00CF14A7" w:rsidRPr="00236F5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C95B8A">
        <w:rPr>
          <w:rFonts w:asciiTheme="majorBidi" w:hAnsiTheme="majorBidi" w:cstheme="majorBidi"/>
          <w:color w:val="000000"/>
          <w:sz w:val="24"/>
          <w:szCs w:val="24"/>
        </w:rPr>
        <w:t>характеристик и мнений учителей</w:t>
      </w:r>
      <w:r w:rsidR="00CF14A7" w:rsidRPr="00236F55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="00C95B8A">
        <w:rPr>
          <w:rFonts w:asciiTheme="majorBidi" w:hAnsiTheme="majorBidi" w:cstheme="majorBidi"/>
          <w:color w:val="000000"/>
          <w:sz w:val="24"/>
          <w:szCs w:val="24"/>
        </w:rPr>
        <w:t xml:space="preserve">атмосферы в классах и характеристик школ </w:t>
      </w:r>
      <w:r w:rsidR="00CF14A7" w:rsidRPr="00236F5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C95B8A">
        <w:rPr>
          <w:rFonts w:asciiTheme="majorBidi" w:hAnsiTheme="majorBidi" w:cstheme="majorBidi"/>
          <w:color w:val="000000"/>
          <w:sz w:val="24"/>
          <w:szCs w:val="24"/>
        </w:rPr>
        <w:t>по всем ступеням школьного образования</w:t>
      </w:r>
      <w:r w:rsidR="00CF14A7" w:rsidRPr="00236F55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="00C95B8A">
        <w:rPr>
          <w:rFonts w:asciiTheme="majorBidi" w:hAnsiTheme="majorBidi" w:cstheme="majorBidi"/>
          <w:color w:val="000000"/>
          <w:sz w:val="24"/>
          <w:szCs w:val="24"/>
        </w:rPr>
        <w:t>Предоставлены данные, охватывающие все три ступени школьного образования</w:t>
      </w:r>
      <w:r w:rsidR="00CF14A7" w:rsidRPr="00236F55">
        <w:rPr>
          <w:rFonts w:asciiTheme="majorBidi" w:hAnsiTheme="majorBidi" w:cstheme="majorBidi"/>
          <w:color w:val="000000"/>
          <w:sz w:val="24"/>
          <w:szCs w:val="24"/>
        </w:rPr>
        <w:t xml:space="preserve"> (</w:t>
      </w:r>
      <w:r w:rsidR="00C95B8A">
        <w:rPr>
          <w:rFonts w:asciiTheme="majorBidi" w:hAnsiTheme="majorBidi" w:cstheme="majorBidi"/>
          <w:color w:val="000000"/>
          <w:sz w:val="24"/>
          <w:szCs w:val="24"/>
        </w:rPr>
        <w:t>начальное, начальное среднее, старшие классы</w:t>
      </w:r>
      <w:r w:rsidR="00CF14A7" w:rsidRPr="00236F55">
        <w:rPr>
          <w:rFonts w:asciiTheme="majorBidi" w:hAnsiTheme="majorBidi" w:cstheme="majorBidi"/>
          <w:color w:val="000000"/>
          <w:sz w:val="24"/>
          <w:szCs w:val="24"/>
        </w:rPr>
        <w:t xml:space="preserve">) </w:t>
      </w:r>
      <w:r w:rsidR="00C95B8A">
        <w:rPr>
          <w:rFonts w:asciiTheme="majorBidi" w:hAnsiTheme="majorBidi" w:cstheme="majorBidi"/>
          <w:color w:val="000000"/>
          <w:sz w:val="24"/>
          <w:szCs w:val="24"/>
        </w:rPr>
        <w:t>для пяти стран</w:t>
      </w:r>
      <w:r w:rsidR="00CF14A7" w:rsidRPr="00236F55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="00C95B8A">
        <w:rPr>
          <w:rFonts w:asciiTheme="majorBidi" w:hAnsiTheme="majorBidi" w:cstheme="majorBidi"/>
          <w:color w:val="000000"/>
          <w:sz w:val="24"/>
          <w:szCs w:val="24"/>
        </w:rPr>
        <w:t>То есть, среди стран, учавствующих в</w:t>
      </w:r>
      <w:r w:rsidR="00C1599F">
        <w:rPr>
          <w:rFonts w:asciiTheme="majorBidi" w:hAnsiTheme="majorBidi" w:cstheme="majorBidi"/>
          <w:color w:val="000000"/>
          <w:sz w:val="24"/>
          <w:szCs w:val="24"/>
        </w:rPr>
        <w:t xml:space="preserve"> Международном Соцопросе о Преподавании и Обучении, организованном </w:t>
      </w:r>
      <w:r w:rsidR="00C1599F" w:rsidRPr="00C1599F">
        <w:rPr>
          <w:rFonts w:asciiTheme="majorBidi" w:hAnsiTheme="majorBidi" w:cstheme="majorBidi"/>
          <w:color w:val="000000"/>
          <w:sz w:val="24"/>
          <w:szCs w:val="24"/>
        </w:rPr>
        <w:t>OЭСР</w:t>
      </w:r>
      <w:r w:rsidR="00CF14A7" w:rsidRPr="00236F5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C1599F">
        <w:rPr>
          <w:rFonts w:asciiTheme="majorBidi" w:hAnsiTheme="majorBidi" w:cstheme="majorBidi"/>
          <w:color w:val="000000"/>
          <w:sz w:val="24"/>
          <w:szCs w:val="24"/>
        </w:rPr>
        <w:t>в</w:t>
      </w:r>
      <w:r w:rsidR="00CF14A7" w:rsidRPr="00236F55">
        <w:rPr>
          <w:rFonts w:asciiTheme="majorBidi" w:hAnsiTheme="majorBidi" w:cstheme="majorBidi"/>
          <w:color w:val="000000"/>
          <w:sz w:val="24"/>
          <w:szCs w:val="24"/>
        </w:rPr>
        <w:t xml:space="preserve"> 2013</w:t>
      </w:r>
      <w:r w:rsidR="00C1599F">
        <w:rPr>
          <w:rFonts w:asciiTheme="majorBidi" w:hAnsiTheme="majorBidi" w:cstheme="majorBidi"/>
          <w:color w:val="000000"/>
          <w:sz w:val="24"/>
          <w:szCs w:val="24"/>
        </w:rPr>
        <w:t xml:space="preserve"> году</w:t>
      </w:r>
      <w:r w:rsidR="00C95B8A">
        <w:rPr>
          <w:rFonts w:asciiTheme="majorBidi" w:hAnsiTheme="majorBidi" w:cstheme="majorBidi"/>
          <w:color w:val="000000"/>
          <w:sz w:val="24"/>
          <w:szCs w:val="24"/>
        </w:rPr>
        <w:t xml:space="preserve"> – Дания, Финляндия, Мексика, Норвегия, и Польша </w:t>
      </w:r>
      <w:r w:rsidR="00D20514">
        <w:rPr>
          <w:rFonts w:asciiTheme="majorBidi" w:hAnsiTheme="majorBidi" w:cstheme="majorBidi"/>
          <w:color w:val="000000"/>
          <w:sz w:val="24"/>
          <w:szCs w:val="24"/>
        </w:rPr>
        <w:t xml:space="preserve">предложили пройти Соцопрос учителям начальной школы и старших классов, </w:t>
      </w:r>
      <w:r w:rsidR="00CF14A7" w:rsidRPr="00236F55">
        <w:rPr>
          <w:rFonts w:asciiTheme="majorBidi" w:hAnsiTheme="majorBidi" w:cstheme="majorBidi"/>
          <w:color w:val="000000"/>
          <w:sz w:val="24"/>
          <w:szCs w:val="24"/>
        </w:rPr>
        <w:t xml:space="preserve"> (</w:t>
      </w:r>
      <w:r w:rsidR="001400A8">
        <w:rPr>
          <w:rFonts w:asciiTheme="majorBidi" w:hAnsiTheme="majorBidi" w:cstheme="majorBidi"/>
          <w:color w:val="000000"/>
          <w:sz w:val="24"/>
          <w:szCs w:val="24"/>
        </w:rPr>
        <w:t>т.е.</w:t>
      </w:r>
      <w:r w:rsidR="00CF14A7" w:rsidRPr="00236F5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1400A8">
        <w:rPr>
          <w:rFonts w:asciiTheme="majorBidi" w:hAnsiTheme="majorBidi" w:cstheme="majorBidi"/>
          <w:color w:val="000000"/>
          <w:sz w:val="24"/>
          <w:szCs w:val="24"/>
        </w:rPr>
        <w:t>МСКО</w:t>
      </w:r>
      <w:r w:rsidR="00CF14A7" w:rsidRPr="00236F55">
        <w:rPr>
          <w:rFonts w:asciiTheme="majorBidi" w:hAnsiTheme="majorBidi" w:cstheme="majorBidi"/>
          <w:color w:val="000000"/>
          <w:sz w:val="24"/>
          <w:szCs w:val="24"/>
        </w:rPr>
        <w:t xml:space="preserve"> 1 </w:t>
      </w:r>
      <w:r w:rsidR="001400A8">
        <w:rPr>
          <w:rFonts w:asciiTheme="majorBidi" w:hAnsiTheme="majorBidi" w:cstheme="majorBidi"/>
          <w:color w:val="000000"/>
          <w:sz w:val="24"/>
          <w:szCs w:val="24"/>
        </w:rPr>
        <w:t xml:space="preserve">и </w:t>
      </w:r>
      <w:r w:rsidR="00CF14A7" w:rsidRPr="00236F5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1400A8">
        <w:rPr>
          <w:rFonts w:asciiTheme="majorBidi" w:hAnsiTheme="majorBidi" w:cstheme="majorBidi"/>
          <w:color w:val="000000"/>
          <w:sz w:val="24"/>
          <w:szCs w:val="24"/>
        </w:rPr>
        <w:t>МСКО</w:t>
      </w:r>
      <w:r w:rsidR="00CF14A7" w:rsidRPr="00236F55">
        <w:rPr>
          <w:rFonts w:asciiTheme="majorBidi" w:hAnsiTheme="majorBidi" w:cstheme="majorBidi"/>
          <w:color w:val="000000"/>
          <w:sz w:val="24"/>
          <w:szCs w:val="24"/>
        </w:rPr>
        <w:t xml:space="preserve"> 3, </w:t>
      </w:r>
      <w:r w:rsidR="001400A8">
        <w:rPr>
          <w:rFonts w:asciiTheme="majorBidi" w:hAnsiTheme="majorBidi" w:cstheme="majorBidi"/>
          <w:color w:val="000000"/>
          <w:sz w:val="24"/>
          <w:szCs w:val="24"/>
        </w:rPr>
        <w:t>соответственно</w:t>
      </w:r>
      <w:r w:rsidR="00CF14A7" w:rsidRPr="00236F55">
        <w:rPr>
          <w:rFonts w:asciiTheme="majorBidi" w:hAnsiTheme="majorBidi" w:cstheme="majorBidi"/>
          <w:color w:val="000000"/>
          <w:sz w:val="24"/>
          <w:szCs w:val="24"/>
        </w:rPr>
        <w:t xml:space="preserve">) </w:t>
      </w:r>
      <w:r w:rsidR="00D20514">
        <w:rPr>
          <w:rFonts w:asciiTheme="majorBidi" w:hAnsiTheme="majorBidi" w:cstheme="majorBidi"/>
          <w:color w:val="000000"/>
          <w:sz w:val="24"/>
          <w:szCs w:val="24"/>
        </w:rPr>
        <w:t>в дополнение к опросам в младших классах средних школ</w:t>
      </w:r>
      <w:r w:rsidR="00CF14A7" w:rsidRPr="00236F55">
        <w:rPr>
          <w:rFonts w:asciiTheme="majorBidi" w:hAnsiTheme="majorBidi" w:cstheme="majorBidi"/>
          <w:color w:val="000000"/>
          <w:sz w:val="24"/>
          <w:szCs w:val="24"/>
        </w:rPr>
        <w:t xml:space="preserve"> (</w:t>
      </w:r>
      <w:r w:rsidR="001400A8">
        <w:rPr>
          <w:rFonts w:asciiTheme="majorBidi" w:hAnsiTheme="majorBidi" w:cstheme="majorBidi"/>
          <w:color w:val="000000"/>
          <w:sz w:val="24"/>
          <w:szCs w:val="24"/>
        </w:rPr>
        <w:t>т.е. МСКО</w:t>
      </w:r>
      <w:r w:rsidR="00CF14A7" w:rsidRPr="00236F55">
        <w:rPr>
          <w:rFonts w:asciiTheme="majorBidi" w:hAnsiTheme="majorBidi" w:cstheme="majorBidi"/>
          <w:color w:val="000000"/>
          <w:sz w:val="24"/>
          <w:szCs w:val="24"/>
        </w:rPr>
        <w:t xml:space="preserve"> 2). </w:t>
      </w:r>
      <w:r w:rsidR="00D20514">
        <w:rPr>
          <w:rFonts w:asciiTheme="majorBidi" w:hAnsiTheme="majorBidi" w:cstheme="majorBidi"/>
          <w:color w:val="000000"/>
          <w:sz w:val="24"/>
          <w:szCs w:val="24"/>
        </w:rPr>
        <w:t xml:space="preserve">Австралия, Дания, Исландия, Италия Сингапур и Абу Даби (ОАЭ) предложили пройти соцопрос учителям младших классов средней школы, тогда как учителя региона Фландрия (Бельгия) на вопросы соцопроса отвечали учителя начальных школ. </w:t>
      </w:r>
      <w:r w:rsidR="00CF14A7" w:rsidRPr="00236F5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D2051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236F55" w:rsidRPr="00236F55">
        <w:rPr>
          <w:rFonts w:asciiTheme="majorBidi" w:hAnsiTheme="majorBidi" w:cstheme="majorBidi"/>
          <w:sz w:val="24"/>
          <w:szCs w:val="24"/>
        </w:rPr>
        <w:t xml:space="preserve"> </w:t>
      </w:r>
    </w:p>
    <w:p w:rsidR="00236F55" w:rsidRDefault="00236F55" w:rsidP="006C28C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Страница 147</w:t>
      </w:r>
    </w:p>
    <w:p w:rsidR="00D20514" w:rsidRDefault="00D20514" w:rsidP="006C28C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Таким образом, в данной главе проводится сравнение по двум ступеням школьного образования в странах и экономических зонах, принявших участие в опросе. Каждый, кто вспоминает свои школьные годы, отмечает ряд различий в восприятии учителей начальной и младшей средней школы, и даже самих школ этих ступеней образования. </w:t>
      </w:r>
    </w:p>
    <w:p w:rsidR="00236F55" w:rsidRPr="00236F55" w:rsidRDefault="00D20514" w:rsidP="006C28C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Переход из начальной в среднюю школу считается одним из самых важных моментов процесса образования в целом. </w:t>
      </w:r>
      <w:r w:rsidR="00236F55" w:rsidRPr="00236F5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С точки зрения учителей, в большинстве образовательных систем данный переход также означает изменение подхода с более ориентированного на потребности студентов в начальной школе, где многим учащимся необходима помочь в чтении, письме</w:t>
      </w:r>
      <w:r w:rsidR="00236F55" w:rsidRPr="00236F5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и объяснении, на подход, более ориентированный на группу в процессе обучения более взрослых детей. </w:t>
      </w:r>
      <w:r w:rsidR="006C28C1">
        <w:rPr>
          <w:rFonts w:asciiTheme="majorBidi" w:hAnsiTheme="majorBidi" w:cstheme="majorBidi"/>
          <w:sz w:val="24"/>
          <w:szCs w:val="24"/>
        </w:rPr>
        <w:t>С развитием учащихся, кардинально меняется и содержание школьной программы, делая изучение предметов более глубоким. Данные изменения сопряжены и с переменой требований к самим учителям. Как это уже было отмечено в предыдущих главах, учителя начальной школы зачастую являются учителями-универсалами и проводят больую часть учебного года в одном классе</w:t>
      </w:r>
      <w:r w:rsidR="00236F55" w:rsidRPr="00236F55">
        <w:rPr>
          <w:rFonts w:asciiTheme="majorBidi" w:hAnsiTheme="majorBidi" w:cstheme="majorBidi"/>
          <w:sz w:val="24"/>
          <w:szCs w:val="24"/>
        </w:rPr>
        <w:t xml:space="preserve">. </w:t>
      </w:r>
      <w:r w:rsidR="006C28C1">
        <w:rPr>
          <w:rFonts w:asciiTheme="majorBidi" w:hAnsiTheme="majorBidi" w:cstheme="majorBidi"/>
          <w:sz w:val="24"/>
          <w:szCs w:val="24"/>
        </w:rPr>
        <w:t xml:space="preserve">Учителя средней школы обычно специализируются на определенном предмете и в течение учебного года работают с несколькими классами. </w:t>
      </w:r>
      <w:r w:rsidR="00236F55" w:rsidRPr="00236F55">
        <w:rPr>
          <w:rFonts w:asciiTheme="majorBidi" w:hAnsiTheme="majorBidi" w:cstheme="majorBidi"/>
          <w:sz w:val="24"/>
          <w:szCs w:val="24"/>
        </w:rPr>
        <w:t xml:space="preserve"> </w:t>
      </w:r>
      <w:r w:rsidR="006C28C1">
        <w:rPr>
          <w:rFonts w:asciiTheme="majorBidi" w:hAnsiTheme="majorBidi" w:cstheme="majorBidi"/>
          <w:sz w:val="24"/>
          <w:szCs w:val="24"/>
        </w:rPr>
        <w:t xml:space="preserve">В результате, преподавание на каждой из этих ступеней – начальное, начальное среднее и преподавание в старших классах – обязательно имеет ряд уникальных характеристик. Данная глава исследует ключевые различия между образовательными ступенями в странах, где проводился опрос, а также указывает на основные сходства между этимиуровнями школьного образования. </w:t>
      </w:r>
      <w:r w:rsidR="00236F55" w:rsidRPr="00236F55">
        <w:rPr>
          <w:rFonts w:asciiTheme="majorBidi" w:hAnsiTheme="majorBidi" w:cstheme="majorBidi"/>
          <w:sz w:val="24"/>
          <w:szCs w:val="24"/>
        </w:rPr>
        <w:t xml:space="preserve"> </w:t>
      </w:r>
      <w:r w:rsidR="006C28C1">
        <w:rPr>
          <w:rFonts w:asciiTheme="majorBidi" w:hAnsiTheme="majorBidi" w:cstheme="majorBidi"/>
          <w:sz w:val="24"/>
          <w:szCs w:val="24"/>
        </w:rPr>
        <w:t xml:space="preserve"> </w:t>
      </w:r>
    </w:p>
    <w:p w:rsidR="00236F55" w:rsidRPr="00236F55" w:rsidRDefault="006C28C1" w:rsidP="006C28C1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Разделы статьи анализируют анкеты учителей, школы, в которых они работают, а также уровень профессионального развития учителей по всем трем ступеням школьного образования. </w:t>
      </w:r>
    </w:p>
    <w:p w:rsidR="00236F55" w:rsidRPr="00236F55" w:rsidRDefault="006C28C1" w:rsidP="00D8273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АНКЕТЫ УЧИТЕЛЕЙ</w:t>
      </w:r>
    </w:p>
    <w:p w:rsidR="00236F55" w:rsidRPr="00236F55" w:rsidRDefault="006C28C1" w:rsidP="00D82739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Демографические профили учителей и их опыт работы. </w:t>
      </w:r>
      <w:r w:rsidR="00236F55" w:rsidRPr="00236F5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236F55" w:rsidRPr="00236F55" w:rsidRDefault="006C28C1" w:rsidP="001400A8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Средний возраст преподавателей начальной стредней и старшей школ в пяти странах, принимавших участие в опросе, примерно одинаковы, варьируясь от 43 до чуть более, чем 45 лет. Как показано на Рисунке 6.1.</w:t>
      </w:r>
      <w:r w:rsidR="00236F55" w:rsidRPr="00236F55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 среди стран</w:t>
      </w:r>
      <w:r w:rsidR="00236F55" w:rsidRPr="00236F55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предоставивших данные, </w:t>
      </w:r>
      <w:r w:rsidR="00236F55" w:rsidRPr="00236F5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наибольая разница между учителями, работающими на разных ступенях школьного образования, наблюдается в Финляндии и Исландии. В Финляндии средний возраст учителей начальной школы равен 44 годам, тогда как средний возраст преподавателей старшей школы – 47 лет. </w:t>
      </w:r>
      <w:r w:rsidR="00236F55" w:rsidRPr="00236F55">
        <w:rPr>
          <w:rFonts w:asciiTheme="majorBidi" w:hAnsiTheme="majorBidi" w:cstheme="majorBidi"/>
          <w:sz w:val="24"/>
          <w:szCs w:val="24"/>
        </w:rPr>
        <w:t xml:space="preserve"> </w:t>
      </w:r>
      <w:r w:rsidR="00A5665C">
        <w:rPr>
          <w:rFonts w:asciiTheme="majorBidi" w:hAnsiTheme="majorBidi" w:cstheme="majorBidi"/>
          <w:sz w:val="24"/>
          <w:szCs w:val="24"/>
        </w:rPr>
        <w:t xml:space="preserve">В Исландии в среднем возраст учителей начальной школы равняется </w:t>
      </w:r>
      <w:r w:rsidR="00236F55" w:rsidRPr="00236F55">
        <w:rPr>
          <w:rFonts w:asciiTheme="majorBidi" w:hAnsiTheme="majorBidi" w:cstheme="majorBidi"/>
          <w:sz w:val="24"/>
          <w:szCs w:val="24"/>
        </w:rPr>
        <w:t>4</w:t>
      </w:r>
      <w:r w:rsidR="00A5665C">
        <w:rPr>
          <w:rFonts w:asciiTheme="majorBidi" w:hAnsiTheme="majorBidi" w:cstheme="majorBidi"/>
          <w:sz w:val="24"/>
          <w:szCs w:val="24"/>
        </w:rPr>
        <w:t>5</w:t>
      </w:r>
      <w:r w:rsidR="00236F55" w:rsidRPr="00236F55">
        <w:rPr>
          <w:rFonts w:asciiTheme="majorBidi" w:hAnsiTheme="majorBidi" w:cstheme="majorBidi"/>
          <w:sz w:val="24"/>
          <w:szCs w:val="24"/>
        </w:rPr>
        <w:t xml:space="preserve"> </w:t>
      </w:r>
      <w:r w:rsidR="00A5665C">
        <w:rPr>
          <w:rFonts w:asciiTheme="majorBidi" w:hAnsiTheme="majorBidi" w:cstheme="majorBidi"/>
          <w:sz w:val="24"/>
          <w:szCs w:val="24"/>
        </w:rPr>
        <w:t xml:space="preserve">годам, а для учителей старшей школы этот показатель меняется на </w:t>
      </w:r>
      <w:r w:rsidR="00236F55" w:rsidRPr="00236F55">
        <w:rPr>
          <w:rFonts w:asciiTheme="majorBidi" w:hAnsiTheme="majorBidi" w:cstheme="majorBidi"/>
          <w:sz w:val="24"/>
          <w:szCs w:val="24"/>
        </w:rPr>
        <w:t>4</w:t>
      </w:r>
      <w:r w:rsidR="00A5665C">
        <w:rPr>
          <w:rFonts w:asciiTheme="majorBidi" w:hAnsiTheme="majorBidi" w:cstheme="majorBidi"/>
          <w:sz w:val="24"/>
          <w:szCs w:val="24"/>
        </w:rPr>
        <w:t>9</w:t>
      </w:r>
      <w:r w:rsidR="00236F55" w:rsidRPr="00236F55">
        <w:rPr>
          <w:rFonts w:asciiTheme="majorBidi" w:hAnsiTheme="majorBidi" w:cstheme="majorBidi"/>
          <w:sz w:val="24"/>
          <w:szCs w:val="24"/>
        </w:rPr>
        <w:t xml:space="preserve"> </w:t>
      </w:r>
      <w:r w:rsidR="00A5665C">
        <w:rPr>
          <w:rFonts w:asciiTheme="majorBidi" w:hAnsiTheme="majorBidi" w:cstheme="majorBidi"/>
          <w:sz w:val="24"/>
          <w:szCs w:val="24"/>
        </w:rPr>
        <w:t>лет среднего возраста</w:t>
      </w:r>
      <w:r w:rsidR="00236F55" w:rsidRPr="00236F55">
        <w:rPr>
          <w:rFonts w:asciiTheme="majorBidi" w:hAnsiTheme="majorBidi" w:cstheme="majorBidi"/>
          <w:sz w:val="24"/>
          <w:szCs w:val="24"/>
        </w:rPr>
        <w:t xml:space="preserve"> (</w:t>
      </w:r>
      <w:r w:rsidR="00A5665C">
        <w:rPr>
          <w:rFonts w:asciiTheme="majorBidi" w:hAnsiTheme="majorBidi" w:cstheme="majorBidi"/>
          <w:sz w:val="24"/>
          <w:szCs w:val="24"/>
        </w:rPr>
        <w:t>см.</w:t>
      </w:r>
      <w:r w:rsidR="00236F55" w:rsidRPr="00236F55">
        <w:rPr>
          <w:rFonts w:asciiTheme="majorBidi" w:hAnsiTheme="majorBidi" w:cstheme="majorBidi"/>
          <w:sz w:val="24"/>
          <w:szCs w:val="24"/>
        </w:rPr>
        <w:t xml:space="preserve"> </w:t>
      </w:r>
      <w:r w:rsidR="00A5665C">
        <w:rPr>
          <w:rFonts w:asciiTheme="majorBidi" w:hAnsiTheme="majorBidi" w:cstheme="majorBidi"/>
          <w:sz w:val="24"/>
          <w:szCs w:val="24"/>
        </w:rPr>
        <w:t>Рис.</w:t>
      </w:r>
      <w:r w:rsidR="00236F55" w:rsidRPr="00236F55">
        <w:rPr>
          <w:rFonts w:asciiTheme="majorBidi" w:hAnsiTheme="majorBidi" w:cstheme="majorBidi"/>
          <w:sz w:val="24"/>
          <w:szCs w:val="24"/>
        </w:rPr>
        <w:t xml:space="preserve"> 6.1).</w:t>
      </w:r>
    </w:p>
    <w:p w:rsidR="00236F55" w:rsidRPr="00236F55" w:rsidRDefault="00D82739" w:rsidP="001400A8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Беря во внимание данные, представленные в предыдущих главах данного отчета, неудивительным оказывается тот факт, что большинство преподавателей на всех ступенях школьного образования в большинстве стран – женщины. </w:t>
      </w:r>
      <w:r w:rsidR="00236F55" w:rsidRPr="00236F5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Исключение составляют лишь учителя старших классов в Дании иМексике. </w:t>
      </w:r>
      <w:r w:rsidR="00236F55" w:rsidRPr="00236F5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Следует, однако, отметить, что отношение преподавателей мужского и женского пола несколько меняется на разных уровнях школьного образования – в начальной школе превалируют преподаватели женского пола, по сравнению со средней и старшей школами </w:t>
      </w:r>
      <w:r w:rsidR="00236F55" w:rsidRPr="00236F55">
        <w:rPr>
          <w:rFonts w:asciiTheme="majorBidi" w:hAnsiTheme="majorBidi" w:cstheme="majorBidi"/>
          <w:sz w:val="24"/>
          <w:szCs w:val="24"/>
        </w:rPr>
        <w:t>(</w:t>
      </w:r>
      <w:r>
        <w:rPr>
          <w:rFonts w:asciiTheme="majorBidi" w:hAnsiTheme="majorBidi" w:cstheme="majorBidi"/>
          <w:sz w:val="24"/>
          <w:szCs w:val="24"/>
        </w:rPr>
        <w:t>см. Рис.</w:t>
      </w:r>
      <w:r w:rsidR="00236F55" w:rsidRPr="00236F55">
        <w:rPr>
          <w:rFonts w:asciiTheme="majorBidi" w:hAnsiTheme="majorBidi" w:cstheme="majorBidi"/>
          <w:sz w:val="24"/>
          <w:szCs w:val="24"/>
        </w:rPr>
        <w:t xml:space="preserve"> 6.1). </w:t>
      </w:r>
      <w:r>
        <w:rPr>
          <w:rFonts w:asciiTheme="majorBidi" w:hAnsiTheme="majorBidi" w:cstheme="majorBidi"/>
          <w:sz w:val="24"/>
          <w:szCs w:val="24"/>
        </w:rPr>
        <w:t xml:space="preserve">Наглядный пример – среди стран, учавствовавших в опросе по всем трем ступеням школьного образования, 78% учителей начальных классов – женщины, 64% преподавателей женского пола – в младшей средней школе, и 56 % в старшей школе. </w:t>
      </w:r>
    </w:p>
    <w:p w:rsidR="00CF14A7" w:rsidRDefault="00D82739" w:rsidP="001400A8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Наибольшая разница в соотношении преподавателей мужского и женского пола в начальной и младшей средней школах, наблюдается в таких странах, как Норвегия и Дания, где более трети преподавателей начальных класов – женщины</w:t>
      </w:r>
      <w:r w:rsidR="00236F55" w:rsidRPr="00236F55">
        <w:rPr>
          <w:rFonts w:asciiTheme="majorBidi" w:hAnsiTheme="majorBidi" w:cstheme="majorBidi"/>
          <w:sz w:val="24"/>
          <w:szCs w:val="24"/>
        </w:rPr>
        <w:t xml:space="preserve"> (80% </w:t>
      </w:r>
      <w:r>
        <w:rPr>
          <w:rFonts w:asciiTheme="majorBidi" w:hAnsiTheme="majorBidi" w:cstheme="majorBidi"/>
          <w:sz w:val="24"/>
          <w:szCs w:val="24"/>
        </w:rPr>
        <w:t>и</w:t>
      </w:r>
      <w:r w:rsidR="00236F55" w:rsidRPr="00236F55">
        <w:rPr>
          <w:rFonts w:asciiTheme="majorBidi" w:hAnsiTheme="majorBidi" w:cstheme="majorBidi"/>
          <w:sz w:val="24"/>
          <w:szCs w:val="24"/>
        </w:rPr>
        <w:t xml:space="preserve"> 76%, </w:t>
      </w:r>
      <w:r>
        <w:rPr>
          <w:rFonts w:asciiTheme="majorBidi" w:hAnsiTheme="majorBidi" w:cstheme="majorBidi"/>
          <w:sz w:val="24"/>
          <w:szCs w:val="24"/>
        </w:rPr>
        <w:t>соответственно</w:t>
      </w:r>
      <w:r w:rsidR="00236F55" w:rsidRPr="00236F55">
        <w:rPr>
          <w:rFonts w:asciiTheme="majorBidi" w:hAnsiTheme="majorBidi" w:cstheme="majorBidi"/>
          <w:sz w:val="24"/>
          <w:szCs w:val="24"/>
        </w:rPr>
        <w:t xml:space="preserve">) </w:t>
      </w:r>
      <w:r>
        <w:rPr>
          <w:rFonts w:asciiTheme="majorBidi" w:hAnsiTheme="majorBidi" w:cstheme="majorBidi"/>
          <w:sz w:val="24"/>
          <w:szCs w:val="24"/>
        </w:rPr>
        <w:t>, но в средней школе их число составляет только половину</w:t>
      </w:r>
      <w:r w:rsidR="00236F55" w:rsidRPr="00236F55">
        <w:rPr>
          <w:rFonts w:asciiTheme="majorBidi" w:hAnsiTheme="majorBidi" w:cstheme="majorBidi"/>
          <w:sz w:val="24"/>
          <w:szCs w:val="24"/>
        </w:rPr>
        <w:t xml:space="preserve"> (52% </w:t>
      </w:r>
      <w:r>
        <w:rPr>
          <w:rFonts w:asciiTheme="majorBidi" w:hAnsiTheme="majorBidi" w:cstheme="majorBidi"/>
          <w:sz w:val="24"/>
          <w:szCs w:val="24"/>
        </w:rPr>
        <w:t>и</w:t>
      </w:r>
      <w:r w:rsidR="00236F55" w:rsidRPr="00236F55">
        <w:rPr>
          <w:rFonts w:asciiTheme="majorBidi" w:hAnsiTheme="majorBidi" w:cstheme="majorBidi"/>
          <w:sz w:val="24"/>
          <w:szCs w:val="24"/>
        </w:rPr>
        <w:t xml:space="preserve"> 49%, </w:t>
      </w:r>
      <w:r>
        <w:rPr>
          <w:rFonts w:asciiTheme="majorBidi" w:hAnsiTheme="majorBidi" w:cstheme="majorBidi"/>
          <w:sz w:val="24"/>
          <w:szCs w:val="24"/>
        </w:rPr>
        <w:t>соответственно</w:t>
      </w:r>
      <w:r w:rsidR="00236F55" w:rsidRPr="00236F55">
        <w:rPr>
          <w:rFonts w:asciiTheme="majorBidi" w:hAnsiTheme="majorBidi" w:cstheme="majorBidi"/>
          <w:sz w:val="24"/>
          <w:szCs w:val="24"/>
        </w:rPr>
        <w:t xml:space="preserve">). </w:t>
      </w:r>
      <w:r>
        <w:rPr>
          <w:rFonts w:asciiTheme="majorBidi" w:hAnsiTheme="majorBidi" w:cstheme="majorBidi"/>
          <w:sz w:val="24"/>
          <w:szCs w:val="24"/>
        </w:rPr>
        <w:t xml:space="preserve">Разница в распределении пола преподавателей в начальной и средней школах </w:t>
      </w:r>
      <w:r w:rsidR="001400A8">
        <w:rPr>
          <w:rFonts w:asciiTheme="majorBidi" w:hAnsiTheme="majorBidi" w:cstheme="majorBidi"/>
          <w:sz w:val="24"/>
          <w:szCs w:val="24"/>
        </w:rPr>
        <w:t xml:space="preserve">соответствует результатам исследований, которые показали, что учителя мужского пола чаще выбирают преподавание старшим детям по ряду социальных и экономических причин </w:t>
      </w:r>
      <w:r w:rsidR="00236F55" w:rsidRPr="00236F55">
        <w:rPr>
          <w:rFonts w:asciiTheme="majorBidi" w:hAnsiTheme="majorBidi" w:cstheme="majorBidi"/>
          <w:sz w:val="24"/>
          <w:szCs w:val="24"/>
        </w:rPr>
        <w:t>(Skelton, 2003).</w:t>
      </w:r>
    </w:p>
    <w:p w:rsidR="00236F55" w:rsidRDefault="00236F55" w:rsidP="00236F55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236F55" w:rsidRDefault="00236F55" w:rsidP="00236F55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Страница 148</w:t>
      </w:r>
    </w:p>
    <w:p w:rsidR="00236F55" w:rsidRPr="001400A8" w:rsidRDefault="00236F55" w:rsidP="001400A8">
      <w:pPr>
        <w:spacing w:after="0"/>
        <w:rPr>
          <w:rFonts w:asciiTheme="majorBidi" w:hAnsiTheme="majorBidi" w:cstheme="majorBidi"/>
          <w:i/>
          <w:iCs/>
          <w:sz w:val="24"/>
          <w:szCs w:val="24"/>
        </w:rPr>
      </w:pPr>
      <w:r w:rsidRPr="001400A8">
        <w:rPr>
          <w:rFonts w:asciiTheme="majorBidi" w:hAnsiTheme="majorBidi" w:cstheme="majorBidi"/>
          <w:i/>
          <w:iCs/>
          <w:sz w:val="24"/>
          <w:szCs w:val="24"/>
        </w:rPr>
        <w:t xml:space="preserve">• </w:t>
      </w:r>
      <w:r w:rsidR="001400A8" w:rsidRPr="001400A8">
        <w:rPr>
          <w:rFonts w:asciiTheme="majorBidi" w:hAnsiTheme="majorBidi" w:cstheme="majorBidi"/>
          <w:i/>
          <w:iCs/>
          <w:sz w:val="24"/>
          <w:szCs w:val="24"/>
        </w:rPr>
        <w:t>Рисунок</w:t>
      </w:r>
      <w:r w:rsidRPr="001400A8">
        <w:rPr>
          <w:rFonts w:asciiTheme="majorBidi" w:hAnsiTheme="majorBidi" w:cstheme="majorBidi"/>
          <w:i/>
          <w:iCs/>
          <w:sz w:val="24"/>
          <w:szCs w:val="24"/>
        </w:rPr>
        <w:t xml:space="preserve"> 6.1 •</w:t>
      </w:r>
    </w:p>
    <w:p w:rsidR="00236F55" w:rsidRPr="001400A8" w:rsidRDefault="001400A8" w:rsidP="001400A8">
      <w:pPr>
        <w:spacing w:after="0"/>
        <w:rPr>
          <w:rFonts w:asciiTheme="majorBidi" w:hAnsiTheme="majorBidi" w:cstheme="majorBidi"/>
          <w:i/>
          <w:iCs/>
          <w:sz w:val="24"/>
          <w:szCs w:val="24"/>
        </w:rPr>
      </w:pPr>
      <w:r w:rsidRPr="001400A8">
        <w:rPr>
          <w:rFonts w:asciiTheme="majorBidi" w:hAnsiTheme="majorBidi" w:cstheme="majorBidi"/>
          <w:i/>
          <w:iCs/>
          <w:sz w:val="24"/>
          <w:szCs w:val="24"/>
        </w:rPr>
        <w:t>Пол и возраст учителей</w:t>
      </w:r>
      <w:r w:rsidR="00236F55" w:rsidRPr="001400A8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1400A8">
        <w:rPr>
          <w:rFonts w:asciiTheme="majorBidi" w:hAnsiTheme="majorBidi" w:cstheme="majorBidi"/>
          <w:i/>
          <w:iCs/>
          <w:sz w:val="24"/>
          <w:szCs w:val="24"/>
        </w:rPr>
        <w:t>по уровням МСКО</w:t>
      </w:r>
    </w:p>
    <w:p w:rsidR="00236F55" w:rsidRDefault="001400A8" w:rsidP="00236F55">
      <w:pPr>
        <w:spacing w:after="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1400A8">
        <w:rPr>
          <w:rFonts w:asciiTheme="majorBidi" w:hAnsiTheme="majorBidi" w:cstheme="majorBidi"/>
          <w:i/>
          <w:iCs/>
          <w:sz w:val="24"/>
          <w:szCs w:val="24"/>
        </w:rPr>
        <w:t>Процентный показатель учителей женского пола и данные по среднему возрасту учителей;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547C8F" w:rsidTr="00547C8F">
        <w:tc>
          <w:tcPr>
            <w:tcW w:w="1998" w:type="dxa"/>
          </w:tcPr>
          <w:p w:rsidR="00547C8F" w:rsidRDefault="00547C8F" w:rsidP="00236F5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Показатель 1</w:t>
            </w:r>
          </w:p>
        </w:tc>
        <w:tc>
          <w:tcPr>
            <w:tcW w:w="7578" w:type="dxa"/>
          </w:tcPr>
          <w:p w:rsidR="00547C8F" w:rsidRDefault="00547C8F" w:rsidP="00236F5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Учителя женского пола в начальной школе</w:t>
            </w:r>
          </w:p>
        </w:tc>
      </w:tr>
      <w:tr w:rsidR="00547C8F" w:rsidTr="00547C8F">
        <w:tc>
          <w:tcPr>
            <w:tcW w:w="1998" w:type="dxa"/>
          </w:tcPr>
          <w:p w:rsidR="00547C8F" w:rsidRDefault="00547C8F" w:rsidP="00236F5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Показатель 2</w:t>
            </w:r>
          </w:p>
        </w:tc>
        <w:tc>
          <w:tcPr>
            <w:tcW w:w="7578" w:type="dxa"/>
          </w:tcPr>
          <w:p w:rsidR="00547C8F" w:rsidRDefault="00547C8F" w:rsidP="00236F5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Учителя женского пола в младшей средней школе</w:t>
            </w:r>
          </w:p>
        </w:tc>
      </w:tr>
      <w:tr w:rsidR="00547C8F" w:rsidTr="00547C8F">
        <w:tc>
          <w:tcPr>
            <w:tcW w:w="1998" w:type="dxa"/>
          </w:tcPr>
          <w:p w:rsidR="00547C8F" w:rsidRDefault="00547C8F" w:rsidP="00236F5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Показатель 3</w:t>
            </w:r>
          </w:p>
        </w:tc>
        <w:tc>
          <w:tcPr>
            <w:tcW w:w="7578" w:type="dxa"/>
          </w:tcPr>
          <w:p w:rsidR="00547C8F" w:rsidRDefault="00547C8F" w:rsidP="00236F5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Учителя женского пола в старших классах</w:t>
            </w:r>
          </w:p>
        </w:tc>
      </w:tr>
    </w:tbl>
    <w:p w:rsidR="00547C8F" w:rsidRPr="00547C8F" w:rsidRDefault="00547C8F" w:rsidP="00236F55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236F55" w:rsidRDefault="00236F55" w:rsidP="00236F55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5486400" cy="32004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15029D" w:rsidTr="0015029D">
        <w:tc>
          <w:tcPr>
            <w:tcW w:w="2178" w:type="dxa"/>
          </w:tcPr>
          <w:p w:rsidR="0015029D" w:rsidRDefault="0015029D" w:rsidP="00236F5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Показатель 1</w:t>
            </w:r>
          </w:p>
        </w:tc>
        <w:tc>
          <w:tcPr>
            <w:tcW w:w="7398" w:type="dxa"/>
          </w:tcPr>
          <w:p w:rsidR="0015029D" w:rsidRDefault="0015029D" w:rsidP="00236F5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Средний возраст преподавателей в начальной школе</w:t>
            </w:r>
          </w:p>
        </w:tc>
      </w:tr>
      <w:tr w:rsidR="0015029D" w:rsidTr="0015029D">
        <w:tc>
          <w:tcPr>
            <w:tcW w:w="2178" w:type="dxa"/>
          </w:tcPr>
          <w:p w:rsidR="0015029D" w:rsidRDefault="0015029D" w:rsidP="00236F5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Показатель 2</w:t>
            </w:r>
          </w:p>
        </w:tc>
        <w:tc>
          <w:tcPr>
            <w:tcW w:w="7398" w:type="dxa"/>
          </w:tcPr>
          <w:p w:rsidR="0015029D" w:rsidRDefault="0015029D" w:rsidP="00236F5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Средний возраст преподавателей в младшей средней школе</w:t>
            </w:r>
          </w:p>
        </w:tc>
      </w:tr>
      <w:tr w:rsidR="0015029D" w:rsidTr="0015029D">
        <w:tc>
          <w:tcPr>
            <w:tcW w:w="2178" w:type="dxa"/>
          </w:tcPr>
          <w:p w:rsidR="0015029D" w:rsidRDefault="0015029D" w:rsidP="00236F5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Показатель 3</w:t>
            </w:r>
          </w:p>
        </w:tc>
        <w:tc>
          <w:tcPr>
            <w:tcW w:w="7398" w:type="dxa"/>
          </w:tcPr>
          <w:p w:rsidR="0015029D" w:rsidRDefault="0015029D" w:rsidP="00236F5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Средний возраст преподавателей в старших классах</w:t>
            </w:r>
          </w:p>
        </w:tc>
      </w:tr>
    </w:tbl>
    <w:p w:rsidR="0015029D" w:rsidRDefault="0015029D" w:rsidP="00236F55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>
            <wp:extent cx="5486400" cy="3200400"/>
            <wp:effectExtent l="0" t="0" r="19050" b="1905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36F55" w:rsidRPr="00236F55" w:rsidRDefault="001400A8" w:rsidP="001400A8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Страны расположены в убывающем </w:t>
      </w:r>
      <w:r w:rsidR="00D657E5">
        <w:rPr>
          <w:rFonts w:asciiTheme="majorBidi" w:hAnsiTheme="majorBidi" w:cstheme="majorBidi"/>
          <w:sz w:val="24"/>
          <w:szCs w:val="24"/>
        </w:rPr>
        <w:t xml:space="preserve">порядке, </w:t>
      </w:r>
      <w:r>
        <w:rPr>
          <w:rFonts w:asciiTheme="majorBidi" w:hAnsiTheme="majorBidi" w:cstheme="majorBidi"/>
          <w:sz w:val="24"/>
          <w:szCs w:val="24"/>
        </w:rPr>
        <w:t>согласно данным по младшему среднему образованию</w:t>
      </w:r>
      <w:r w:rsidR="00236F55" w:rsidRPr="00236F55">
        <w:rPr>
          <w:rFonts w:asciiTheme="majorBidi" w:hAnsiTheme="majorBidi" w:cstheme="majorBidi"/>
          <w:sz w:val="24"/>
          <w:szCs w:val="24"/>
        </w:rPr>
        <w:t>.</w:t>
      </w:r>
    </w:p>
    <w:p w:rsidR="00236F55" w:rsidRDefault="001400A8" w:rsidP="0065387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Источник</w:t>
      </w:r>
      <w:r w:rsidR="00236F55" w:rsidRPr="00236F55">
        <w:rPr>
          <w:rFonts w:asciiTheme="majorBidi" w:hAnsiTheme="majorBidi" w:cstheme="majorBidi"/>
          <w:sz w:val="24"/>
          <w:szCs w:val="24"/>
        </w:rPr>
        <w:t xml:space="preserve">: </w:t>
      </w:r>
      <w:r w:rsidR="00C1599F" w:rsidRPr="00C1599F">
        <w:rPr>
          <w:rFonts w:asciiTheme="majorBidi" w:hAnsiTheme="majorBidi" w:cstheme="majorBidi"/>
          <w:sz w:val="24"/>
          <w:szCs w:val="24"/>
        </w:rPr>
        <w:t>OЭСР</w:t>
      </w:r>
      <w:r w:rsidR="00C1599F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236F55" w:rsidRPr="00236F55">
        <w:rPr>
          <w:rFonts w:asciiTheme="majorBidi" w:hAnsiTheme="majorBidi" w:cstheme="majorBidi"/>
          <w:sz w:val="24"/>
          <w:szCs w:val="24"/>
        </w:rPr>
        <w:t xml:space="preserve"> </w:t>
      </w:r>
      <w:r w:rsidR="00355FDE">
        <w:rPr>
          <w:rFonts w:asciiTheme="majorBidi" w:hAnsiTheme="majorBidi" w:cstheme="majorBidi"/>
          <w:sz w:val="24"/>
          <w:szCs w:val="24"/>
        </w:rPr>
        <w:t xml:space="preserve">Международный Соцопрос о Преподавании </w:t>
      </w:r>
      <w:r w:rsidR="0065387B">
        <w:rPr>
          <w:rFonts w:asciiTheme="majorBidi" w:hAnsiTheme="majorBidi" w:cstheme="majorBidi"/>
          <w:sz w:val="24"/>
          <w:szCs w:val="24"/>
        </w:rPr>
        <w:t>и Обучении,</w:t>
      </w:r>
      <w:r w:rsidR="00236F55" w:rsidRPr="00236F55">
        <w:rPr>
          <w:rFonts w:asciiTheme="majorBidi" w:hAnsiTheme="majorBidi" w:cstheme="majorBidi"/>
          <w:sz w:val="24"/>
          <w:szCs w:val="24"/>
        </w:rPr>
        <w:t xml:space="preserve"> 2013</w:t>
      </w:r>
      <w:r w:rsidR="0065387B">
        <w:rPr>
          <w:rFonts w:asciiTheme="majorBidi" w:hAnsiTheme="majorBidi" w:cstheme="majorBidi"/>
          <w:sz w:val="24"/>
          <w:szCs w:val="24"/>
        </w:rPr>
        <w:t>, База данных</w:t>
      </w:r>
      <w:r w:rsidR="00236F55" w:rsidRPr="00236F55">
        <w:rPr>
          <w:rFonts w:asciiTheme="majorBidi" w:hAnsiTheme="majorBidi" w:cstheme="majorBidi"/>
          <w:sz w:val="24"/>
          <w:szCs w:val="24"/>
        </w:rPr>
        <w:t>.</w:t>
      </w:r>
    </w:p>
    <w:p w:rsidR="00236F55" w:rsidRDefault="00236F55" w:rsidP="00236F55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Ссылка:</w:t>
      </w:r>
      <w:r w:rsidRPr="00236F55">
        <w:rPr>
          <w:rFonts w:asciiTheme="majorBidi" w:hAnsiTheme="majorBidi" w:cstheme="majorBidi"/>
          <w:sz w:val="24"/>
          <w:szCs w:val="24"/>
        </w:rPr>
        <w:t xml:space="preserve"> </w:t>
      </w:r>
      <w:hyperlink r:id="rId8" w:history="1">
        <w:r w:rsidRPr="0092068A">
          <w:rPr>
            <w:rStyle w:val="Hyperlink"/>
            <w:rFonts w:asciiTheme="majorBidi" w:hAnsiTheme="majorBidi" w:cstheme="majorBidi"/>
            <w:sz w:val="24"/>
            <w:szCs w:val="24"/>
          </w:rPr>
          <w:t>http://dx.doi.org/10.1787/888933166095</w:t>
        </w:r>
      </w:hyperlink>
    </w:p>
    <w:p w:rsidR="00236F55" w:rsidRPr="00236F55" w:rsidRDefault="005A4CEC" w:rsidP="00236F55">
      <w:pPr>
        <w:pStyle w:val="Pa45"/>
        <w:spacing w:before="40" w:line="240" w:lineRule="auto"/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b/>
          <w:bCs/>
          <w:color w:val="000000"/>
          <w:lang w:val="ru-RU"/>
        </w:rPr>
        <w:t>Опыт работы по профессии</w:t>
      </w:r>
      <w:r w:rsidR="00236F55" w:rsidRPr="00236F55">
        <w:rPr>
          <w:rFonts w:asciiTheme="majorBidi" w:hAnsiTheme="majorBidi" w:cstheme="majorBidi"/>
          <w:b/>
          <w:bCs/>
          <w:color w:val="000000"/>
        </w:rPr>
        <w:t xml:space="preserve"> </w:t>
      </w:r>
    </w:p>
    <w:p w:rsidR="00236F55" w:rsidRDefault="005A4CEC" w:rsidP="005A4CEC">
      <w:pPr>
        <w:pStyle w:val="Pa16"/>
        <w:spacing w:line="240" w:lineRule="auto"/>
        <w:jc w:val="both"/>
        <w:rPr>
          <w:rFonts w:asciiTheme="majorBidi" w:hAnsiTheme="majorBidi" w:cstheme="majorBidi"/>
          <w:color w:val="000000"/>
          <w:lang w:val="ru-RU"/>
        </w:rPr>
      </w:pPr>
      <w:r>
        <w:rPr>
          <w:rFonts w:asciiTheme="majorBidi" w:hAnsiTheme="majorBidi" w:cstheme="majorBidi"/>
          <w:color w:val="000000"/>
          <w:lang w:val="ru-RU"/>
        </w:rPr>
        <w:lastRenderedPageBreak/>
        <w:t xml:space="preserve">Существует небольшая разница в сроках опыта работы между преподавателями начальной, средней и старшей школ. </w:t>
      </w:r>
      <w:r w:rsidR="00236F55" w:rsidRPr="00236F55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  <w:lang w:val="ru-RU"/>
        </w:rPr>
        <w:t>Как видно из рисунка</w:t>
      </w:r>
      <w:r w:rsidR="00236F55" w:rsidRPr="00236F55">
        <w:rPr>
          <w:rFonts w:asciiTheme="majorBidi" w:hAnsiTheme="majorBidi" w:cstheme="majorBidi"/>
          <w:color w:val="000000"/>
        </w:rPr>
        <w:t xml:space="preserve"> 6.2, </w:t>
      </w:r>
      <w:r>
        <w:rPr>
          <w:rFonts w:asciiTheme="majorBidi" w:hAnsiTheme="majorBidi" w:cstheme="majorBidi"/>
          <w:color w:val="000000"/>
          <w:lang w:val="ru-RU"/>
        </w:rPr>
        <w:t>в пяти странах принимавших участие в опросе</w:t>
      </w:r>
      <w:r w:rsidR="00236F55" w:rsidRPr="00236F55">
        <w:rPr>
          <w:rFonts w:asciiTheme="majorBidi" w:hAnsiTheme="majorBidi" w:cstheme="majorBidi"/>
          <w:color w:val="000000"/>
        </w:rPr>
        <w:t>,</w:t>
      </w:r>
      <w:r>
        <w:rPr>
          <w:rFonts w:asciiTheme="majorBidi" w:hAnsiTheme="majorBidi" w:cstheme="majorBidi"/>
          <w:color w:val="000000"/>
          <w:lang w:val="ru-RU"/>
        </w:rPr>
        <w:t xml:space="preserve"> по всем трем показателям, </w:t>
      </w:r>
      <w:r w:rsidR="00236F55" w:rsidRPr="00236F55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  <w:lang w:val="ru-RU"/>
        </w:rPr>
        <w:t>опыт преподавания насчитывает в среднем</w:t>
      </w:r>
      <w:r w:rsidR="00236F55" w:rsidRPr="00236F55">
        <w:rPr>
          <w:rFonts w:asciiTheme="majorBidi" w:hAnsiTheme="majorBidi" w:cstheme="majorBidi"/>
          <w:color w:val="000000"/>
        </w:rPr>
        <w:t xml:space="preserve"> 16 </w:t>
      </w:r>
      <w:r>
        <w:rPr>
          <w:rFonts w:asciiTheme="majorBidi" w:hAnsiTheme="majorBidi" w:cstheme="majorBidi"/>
          <w:color w:val="000000"/>
          <w:lang w:val="ru-RU"/>
        </w:rPr>
        <w:t>лет</w:t>
      </w:r>
      <w:r w:rsidR="00236F55" w:rsidRPr="00236F55">
        <w:rPr>
          <w:rFonts w:asciiTheme="majorBidi" w:hAnsiTheme="majorBidi" w:cstheme="majorBidi"/>
          <w:color w:val="000000"/>
        </w:rPr>
        <w:t xml:space="preserve">; </w:t>
      </w:r>
      <w:r>
        <w:rPr>
          <w:rFonts w:asciiTheme="majorBidi" w:hAnsiTheme="majorBidi" w:cstheme="majorBidi"/>
          <w:color w:val="000000"/>
          <w:lang w:val="ru-RU"/>
        </w:rPr>
        <w:t>для стран, предоставивших данным по двум показателям – между 15 и 16 годами опыта работы по профессии</w:t>
      </w:r>
      <w:r w:rsidR="00236F55" w:rsidRPr="00236F55">
        <w:rPr>
          <w:rFonts w:asciiTheme="majorBidi" w:hAnsiTheme="majorBidi" w:cstheme="majorBidi"/>
          <w:color w:val="000000"/>
        </w:rPr>
        <w:t xml:space="preserve">. </w:t>
      </w:r>
      <w:r>
        <w:rPr>
          <w:rFonts w:asciiTheme="majorBidi" w:hAnsiTheme="majorBidi" w:cstheme="majorBidi"/>
          <w:color w:val="000000"/>
          <w:lang w:val="ru-RU"/>
        </w:rPr>
        <w:t>В среднем по странам, предоставившим данные по трем показателям, данные цифры включают 11 лет на настоящем месте работы для учителей начальной и средней школ, и 12 лет – для преподавателей старшей школы. Данные показывают, что, согласно</w:t>
      </w:r>
      <w:r w:rsidR="00236F55" w:rsidRPr="00236F55">
        <w:rPr>
          <w:rFonts w:asciiTheme="majorBidi" w:hAnsiTheme="majorBidi" w:cstheme="majorBidi"/>
          <w:color w:val="000000"/>
        </w:rPr>
        <w:t xml:space="preserve"> </w:t>
      </w:r>
      <w:r w:rsidR="0065387B">
        <w:rPr>
          <w:rFonts w:asciiTheme="majorBidi" w:hAnsiTheme="majorBidi" w:cstheme="majorBidi"/>
          <w:color w:val="000000"/>
          <w:lang w:val="ru-RU"/>
        </w:rPr>
        <w:t>Международн</w:t>
      </w:r>
      <w:r>
        <w:rPr>
          <w:rFonts w:asciiTheme="majorBidi" w:hAnsiTheme="majorBidi" w:cstheme="majorBidi"/>
          <w:color w:val="000000"/>
          <w:lang w:val="ru-RU"/>
        </w:rPr>
        <w:t>ому</w:t>
      </w:r>
      <w:r w:rsidR="0065387B">
        <w:rPr>
          <w:rFonts w:asciiTheme="majorBidi" w:hAnsiTheme="majorBidi" w:cstheme="majorBidi"/>
          <w:color w:val="000000"/>
          <w:lang w:val="ru-RU"/>
        </w:rPr>
        <w:t xml:space="preserve"> </w:t>
      </w:r>
      <w:r w:rsidR="00C1599F">
        <w:rPr>
          <w:rFonts w:asciiTheme="majorBidi" w:hAnsiTheme="majorBidi" w:cstheme="majorBidi"/>
          <w:color w:val="000000"/>
          <w:lang w:val="ru-RU"/>
        </w:rPr>
        <w:t>Соцопрос</w:t>
      </w:r>
      <w:r>
        <w:rPr>
          <w:rFonts w:asciiTheme="majorBidi" w:hAnsiTheme="majorBidi" w:cstheme="majorBidi"/>
          <w:color w:val="000000"/>
          <w:lang w:val="ru-RU"/>
        </w:rPr>
        <w:t>у</w:t>
      </w:r>
      <w:r w:rsidR="00C1599F">
        <w:rPr>
          <w:rFonts w:asciiTheme="majorBidi" w:hAnsiTheme="majorBidi" w:cstheme="majorBidi"/>
          <w:color w:val="000000"/>
          <w:lang w:val="ru-RU"/>
        </w:rPr>
        <w:t xml:space="preserve"> </w:t>
      </w:r>
      <w:r w:rsidR="0065387B">
        <w:rPr>
          <w:rFonts w:asciiTheme="majorBidi" w:hAnsiTheme="majorBidi" w:cstheme="majorBidi"/>
          <w:color w:val="000000"/>
          <w:lang w:val="ru-RU"/>
        </w:rPr>
        <w:t>о Преподавании и Обучении</w:t>
      </w:r>
      <w:r>
        <w:rPr>
          <w:rFonts w:asciiTheme="majorBidi" w:hAnsiTheme="majorBidi" w:cstheme="majorBidi"/>
          <w:color w:val="000000"/>
          <w:lang w:val="ru-RU"/>
        </w:rPr>
        <w:t>,</w:t>
      </w:r>
      <w:r w:rsidR="00236F55" w:rsidRPr="00236F55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  <w:lang w:val="ru-RU"/>
        </w:rPr>
        <w:t xml:space="preserve">учителя </w:t>
      </w:r>
      <w:r w:rsidRPr="005A4CEC">
        <w:rPr>
          <w:rFonts w:asciiTheme="majorBidi" w:hAnsiTheme="majorBidi" w:cstheme="majorBidi"/>
          <w:color w:val="000000"/>
          <w:lang w:val="ru-RU"/>
        </w:rPr>
        <w:t xml:space="preserve">на всех образовательных уровнях </w:t>
      </w:r>
      <w:r>
        <w:rPr>
          <w:rFonts w:asciiTheme="majorBidi" w:hAnsiTheme="majorBidi" w:cstheme="majorBidi"/>
          <w:color w:val="000000"/>
          <w:lang w:val="ru-RU"/>
        </w:rPr>
        <w:t xml:space="preserve">имеют большой опыт работы по профессии </w:t>
      </w:r>
      <w:r w:rsidR="00236F55" w:rsidRPr="00236F55">
        <w:rPr>
          <w:rFonts w:asciiTheme="majorBidi" w:hAnsiTheme="majorBidi" w:cstheme="majorBidi"/>
          <w:color w:val="000000"/>
        </w:rPr>
        <w:t>(</w:t>
      </w:r>
      <w:r>
        <w:rPr>
          <w:rFonts w:asciiTheme="majorBidi" w:hAnsiTheme="majorBidi" w:cstheme="majorBidi"/>
          <w:color w:val="000000"/>
          <w:lang w:val="ru-RU"/>
        </w:rPr>
        <w:t>см. также рис.</w:t>
      </w:r>
      <w:r w:rsidR="00236F55" w:rsidRPr="00236F55">
        <w:rPr>
          <w:rFonts w:asciiTheme="majorBidi" w:hAnsiTheme="majorBidi" w:cstheme="majorBidi"/>
          <w:color w:val="000000"/>
        </w:rPr>
        <w:t xml:space="preserve"> 6.2). </w:t>
      </w:r>
    </w:p>
    <w:p w:rsidR="005A4CEC" w:rsidRPr="005A4CEC" w:rsidRDefault="005A4CEC" w:rsidP="005A4CEC"/>
    <w:p w:rsidR="00236F55" w:rsidRPr="005A4CEC" w:rsidRDefault="005A4CEC" w:rsidP="00236F55">
      <w:pPr>
        <w:pStyle w:val="Pa45"/>
        <w:spacing w:before="40" w:line="240" w:lineRule="auto"/>
        <w:jc w:val="both"/>
        <w:rPr>
          <w:rFonts w:asciiTheme="majorBidi" w:hAnsiTheme="majorBidi" w:cstheme="majorBidi"/>
          <w:color w:val="000000"/>
          <w:lang w:val="ru-RU"/>
        </w:rPr>
      </w:pPr>
      <w:r>
        <w:rPr>
          <w:rFonts w:asciiTheme="majorBidi" w:hAnsiTheme="majorBidi" w:cstheme="majorBidi"/>
          <w:b/>
          <w:bCs/>
          <w:color w:val="000000"/>
          <w:lang w:val="ru-RU"/>
        </w:rPr>
        <w:t>Уровень образования и треннинги для преподавателей</w:t>
      </w:r>
    </w:p>
    <w:p w:rsidR="00236F55" w:rsidRDefault="005A4CEC" w:rsidP="00806429">
      <w:pPr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Что касается уровня образования</w:t>
      </w:r>
      <w:r w:rsidR="00236F55" w:rsidRPr="00236F55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>
        <w:rPr>
          <w:rFonts w:asciiTheme="majorBidi" w:hAnsiTheme="majorBidi" w:cstheme="majorBidi"/>
          <w:color w:val="000000"/>
          <w:sz w:val="24"/>
          <w:szCs w:val="24"/>
        </w:rPr>
        <w:t>в большинстве стран, учавствовавших в опросе</w:t>
      </w:r>
      <w:r w:rsidR="00236F55" w:rsidRPr="00236F55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большинство преподавателей достигли наивысшего уровня профильного образования на </w:t>
      </w:r>
      <w:r w:rsidR="00D657E5">
        <w:rPr>
          <w:rFonts w:asciiTheme="majorBidi" w:hAnsiTheme="majorBidi" w:cstheme="majorBidi"/>
          <w:color w:val="000000"/>
          <w:sz w:val="24"/>
          <w:szCs w:val="24"/>
        </w:rPr>
        <w:t>уровне высшего образования</w:t>
      </w:r>
      <w:r w:rsidR="00236F55" w:rsidRPr="00236F55">
        <w:rPr>
          <w:rFonts w:asciiTheme="majorBidi" w:hAnsiTheme="majorBidi" w:cstheme="majorBidi"/>
          <w:color w:val="000000"/>
          <w:sz w:val="24"/>
          <w:szCs w:val="24"/>
        </w:rPr>
        <w:t xml:space="preserve"> (</w:t>
      </w:r>
      <w:r w:rsidR="00D657E5">
        <w:rPr>
          <w:rFonts w:asciiTheme="majorBidi" w:hAnsiTheme="majorBidi" w:cstheme="majorBidi"/>
          <w:color w:val="000000"/>
          <w:sz w:val="24"/>
          <w:szCs w:val="24"/>
        </w:rPr>
        <w:t>МСКО</w:t>
      </w:r>
      <w:r w:rsidR="00236F55" w:rsidRPr="00236F55">
        <w:rPr>
          <w:rFonts w:asciiTheme="majorBidi" w:hAnsiTheme="majorBidi" w:cstheme="majorBidi"/>
          <w:color w:val="000000"/>
          <w:sz w:val="24"/>
          <w:szCs w:val="24"/>
        </w:rPr>
        <w:t xml:space="preserve"> 5) </w:t>
      </w:r>
      <w:r w:rsidR="00D657E5">
        <w:rPr>
          <w:rFonts w:asciiTheme="majorBidi" w:hAnsiTheme="majorBidi" w:cstheme="majorBidi"/>
          <w:color w:val="000000"/>
          <w:sz w:val="24"/>
          <w:szCs w:val="24"/>
        </w:rPr>
        <w:t>или выше</w:t>
      </w:r>
      <w:r w:rsidR="00236F55" w:rsidRPr="00236F55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="00D657E5">
        <w:rPr>
          <w:rFonts w:asciiTheme="majorBidi" w:hAnsiTheme="majorBidi" w:cstheme="majorBidi"/>
          <w:color w:val="000000"/>
          <w:sz w:val="24"/>
          <w:szCs w:val="24"/>
        </w:rPr>
        <w:t>В среднем, по пяти странам</w:t>
      </w:r>
      <w:r w:rsidR="00236F55" w:rsidRPr="00236F55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="00D657E5">
        <w:rPr>
          <w:rFonts w:asciiTheme="majorBidi" w:hAnsiTheme="majorBidi" w:cstheme="majorBidi"/>
          <w:color w:val="000000"/>
          <w:sz w:val="24"/>
          <w:szCs w:val="24"/>
        </w:rPr>
        <w:t>только около</w:t>
      </w:r>
      <w:r w:rsidR="00236F55" w:rsidRPr="00236F55">
        <w:rPr>
          <w:rFonts w:asciiTheme="majorBidi" w:hAnsiTheme="majorBidi" w:cstheme="majorBidi"/>
          <w:color w:val="000000"/>
          <w:sz w:val="24"/>
          <w:szCs w:val="24"/>
        </w:rPr>
        <w:t xml:space="preserve"> 5% </w:t>
      </w:r>
      <w:r w:rsidR="00D657E5">
        <w:rPr>
          <w:rFonts w:asciiTheme="majorBidi" w:hAnsiTheme="majorBidi" w:cstheme="majorBidi"/>
          <w:color w:val="000000"/>
          <w:sz w:val="24"/>
          <w:szCs w:val="24"/>
        </w:rPr>
        <w:t>преподавателей младшей школы</w:t>
      </w:r>
      <w:r w:rsidR="00236F55" w:rsidRPr="00236F55">
        <w:rPr>
          <w:rFonts w:asciiTheme="majorBidi" w:hAnsiTheme="majorBidi" w:cstheme="majorBidi"/>
          <w:color w:val="000000"/>
          <w:sz w:val="24"/>
          <w:szCs w:val="24"/>
        </w:rPr>
        <w:t xml:space="preserve">, 3% </w:t>
      </w:r>
      <w:r w:rsidR="00D657E5">
        <w:rPr>
          <w:rFonts w:asciiTheme="majorBidi" w:hAnsiTheme="majorBidi" w:cstheme="majorBidi"/>
          <w:color w:val="000000"/>
          <w:sz w:val="24"/>
          <w:szCs w:val="24"/>
        </w:rPr>
        <w:t>преподавателей младшей средней школы, и</w:t>
      </w:r>
      <w:r w:rsidR="00236F55" w:rsidRPr="00236F55">
        <w:rPr>
          <w:rFonts w:asciiTheme="majorBidi" w:hAnsiTheme="majorBidi" w:cstheme="majorBidi"/>
          <w:color w:val="000000"/>
          <w:sz w:val="24"/>
          <w:szCs w:val="24"/>
        </w:rPr>
        <w:t xml:space="preserve"> 4% </w:t>
      </w:r>
      <w:r w:rsidR="00D657E5">
        <w:rPr>
          <w:rFonts w:asciiTheme="majorBidi" w:hAnsiTheme="majorBidi" w:cstheme="majorBidi"/>
          <w:color w:val="000000"/>
          <w:sz w:val="24"/>
          <w:szCs w:val="24"/>
        </w:rPr>
        <w:t>преподавателей старшей школы</w:t>
      </w:r>
      <w:r w:rsidR="00236F55" w:rsidRPr="00236F5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D657E5">
        <w:rPr>
          <w:rFonts w:asciiTheme="majorBidi" w:hAnsiTheme="majorBidi" w:cstheme="majorBidi"/>
          <w:color w:val="000000"/>
          <w:sz w:val="24"/>
          <w:szCs w:val="24"/>
        </w:rPr>
        <w:t xml:space="preserve">не имеют </w:t>
      </w:r>
      <w:r w:rsidR="00806429">
        <w:rPr>
          <w:rFonts w:asciiTheme="majorBidi" w:hAnsiTheme="majorBidi" w:cstheme="majorBidi"/>
          <w:color w:val="000000"/>
          <w:sz w:val="24"/>
          <w:szCs w:val="24"/>
        </w:rPr>
        <w:t xml:space="preserve">данного уровня </w:t>
      </w:r>
      <w:r w:rsidR="00D657E5">
        <w:rPr>
          <w:rFonts w:asciiTheme="majorBidi" w:hAnsiTheme="majorBidi" w:cstheme="majorBidi"/>
          <w:color w:val="000000"/>
          <w:sz w:val="24"/>
          <w:szCs w:val="24"/>
        </w:rPr>
        <w:t>образования</w:t>
      </w:r>
      <w:r w:rsidR="00236F55" w:rsidRPr="00236F55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="00806429">
        <w:rPr>
          <w:rFonts w:asciiTheme="majorBidi" w:hAnsiTheme="majorBidi" w:cstheme="majorBidi"/>
          <w:color w:val="000000"/>
          <w:sz w:val="24"/>
          <w:szCs w:val="24"/>
        </w:rPr>
        <w:t>По странам, предоставившим данные по двум показателям</w:t>
      </w:r>
      <w:r w:rsidR="00236F55" w:rsidRPr="00236F55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="00806429">
        <w:rPr>
          <w:rFonts w:asciiTheme="majorBidi" w:hAnsiTheme="majorBidi" w:cstheme="majorBidi"/>
          <w:color w:val="000000"/>
          <w:sz w:val="24"/>
          <w:szCs w:val="24"/>
        </w:rPr>
        <w:t xml:space="preserve">наблюдается незначительная разница между количеством  учителей, не получивших высшее образование </w:t>
      </w:r>
      <w:r w:rsidR="00236F55" w:rsidRPr="00236F55">
        <w:rPr>
          <w:rFonts w:asciiTheme="majorBidi" w:hAnsiTheme="majorBidi" w:cstheme="majorBidi"/>
          <w:color w:val="000000"/>
          <w:sz w:val="24"/>
          <w:szCs w:val="24"/>
        </w:rPr>
        <w:t xml:space="preserve">(4% </w:t>
      </w:r>
      <w:r w:rsidR="00806429">
        <w:rPr>
          <w:rFonts w:asciiTheme="majorBidi" w:hAnsiTheme="majorBidi" w:cstheme="majorBidi"/>
          <w:color w:val="000000"/>
          <w:sz w:val="24"/>
          <w:szCs w:val="24"/>
        </w:rPr>
        <w:t xml:space="preserve">начальная школа, </w:t>
      </w:r>
      <w:r w:rsidR="00236F55" w:rsidRPr="00236F55">
        <w:rPr>
          <w:rFonts w:asciiTheme="majorBidi" w:hAnsiTheme="majorBidi" w:cstheme="majorBidi"/>
          <w:color w:val="000000"/>
          <w:sz w:val="24"/>
          <w:szCs w:val="24"/>
        </w:rPr>
        <w:t xml:space="preserve"> 3% </w:t>
      </w:r>
      <w:r w:rsidR="00806429">
        <w:rPr>
          <w:rFonts w:asciiTheme="majorBidi" w:hAnsiTheme="majorBidi" w:cstheme="majorBidi"/>
          <w:color w:val="000000"/>
          <w:sz w:val="24"/>
          <w:szCs w:val="24"/>
        </w:rPr>
        <w:t>младшая средняя школа</w:t>
      </w:r>
      <w:r w:rsidR="00236F55" w:rsidRPr="00236F55">
        <w:rPr>
          <w:rFonts w:asciiTheme="majorBidi" w:hAnsiTheme="majorBidi" w:cstheme="majorBidi"/>
          <w:color w:val="000000"/>
          <w:sz w:val="24"/>
          <w:szCs w:val="24"/>
        </w:rPr>
        <w:t xml:space="preserve">; 3% </w:t>
      </w:r>
      <w:r w:rsidR="00806429">
        <w:rPr>
          <w:rFonts w:asciiTheme="majorBidi" w:hAnsiTheme="majorBidi" w:cstheme="majorBidi"/>
          <w:color w:val="000000"/>
          <w:sz w:val="24"/>
          <w:szCs w:val="24"/>
        </w:rPr>
        <w:t>в целом для средней и старшей школы</w:t>
      </w:r>
      <w:r w:rsidR="00236F55" w:rsidRPr="00236F55">
        <w:rPr>
          <w:rFonts w:asciiTheme="majorBidi" w:hAnsiTheme="majorBidi" w:cstheme="majorBidi"/>
          <w:color w:val="000000"/>
          <w:sz w:val="24"/>
          <w:szCs w:val="24"/>
        </w:rPr>
        <w:t xml:space="preserve">). </w:t>
      </w:r>
      <w:r w:rsidR="00806429">
        <w:rPr>
          <w:rFonts w:asciiTheme="majorBidi" w:hAnsiTheme="majorBidi" w:cstheme="majorBidi"/>
          <w:color w:val="000000"/>
          <w:sz w:val="24"/>
          <w:szCs w:val="24"/>
        </w:rPr>
        <w:t xml:space="preserve">В некоторых странах аблюдается, однако, более значительная разница в уровне образованности преподавателей. </w:t>
      </w:r>
      <w:r w:rsidR="00236F55" w:rsidRPr="00236F5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806429">
        <w:rPr>
          <w:rFonts w:asciiTheme="majorBidi" w:hAnsiTheme="majorBidi" w:cstheme="majorBidi"/>
          <w:color w:val="000000"/>
          <w:sz w:val="24"/>
          <w:szCs w:val="24"/>
        </w:rPr>
        <w:t>Один из примеров тому – Мексика, где 19% преподавателей младшей школы</w:t>
      </w:r>
      <w:r w:rsidR="00236F55" w:rsidRPr="00236F55">
        <w:rPr>
          <w:rFonts w:asciiTheme="majorBidi" w:hAnsiTheme="majorBidi" w:cstheme="majorBidi"/>
          <w:color w:val="000000"/>
          <w:sz w:val="24"/>
          <w:szCs w:val="24"/>
        </w:rPr>
        <w:t xml:space="preserve">, 9% </w:t>
      </w:r>
      <w:r w:rsidR="00806429">
        <w:rPr>
          <w:rFonts w:asciiTheme="majorBidi" w:hAnsiTheme="majorBidi" w:cstheme="majorBidi"/>
          <w:color w:val="000000"/>
          <w:sz w:val="24"/>
          <w:szCs w:val="24"/>
        </w:rPr>
        <w:t>преподавателей средней школы, и</w:t>
      </w:r>
      <w:r w:rsidR="00236F55" w:rsidRPr="00236F55">
        <w:rPr>
          <w:rFonts w:asciiTheme="majorBidi" w:hAnsiTheme="majorBidi" w:cstheme="majorBidi"/>
          <w:color w:val="000000"/>
          <w:sz w:val="24"/>
          <w:szCs w:val="24"/>
        </w:rPr>
        <w:t xml:space="preserve"> 5% </w:t>
      </w:r>
      <w:r w:rsidR="00806429">
        <w:rPr>
          <w:rFonts w:asciiTheme="majorBidi" w:hAnsiTheme="majorBidi" w:cstheme="majorBidi"/>
          <w:color w:val="000000"/>
          <w:sz w:val="24"/>
          <w:szCs w:val="24"/>
        </w:rPr>
        <w:t>преподавателей старших классов не получили высшего образования</w:t>
      </w:r>
      <w:r w:rsidR="00236F55" w:rsidRPr="00236F55">
        <w:rPr>
          <w:rFonts w:asciiTheme="majorBidi" w:hAnsiTheme="majorBidi" w:cstheme="majorBidi"/>
          <w:color w:val="000000"/>
          <w:sz w:val="24"/>
          <w:szCs w:val="24"/>
        </w:rPr>
        <w:t xml:space="preserve"> (</w:t>
      </w:r>
      <w:r w:rsidR="00D657E5">
        <w:rPr>
          <w:rFonts w:asciiTheme="majorBidi" w:hAnsiTheme="majorBidi" w:cstheme="majorBidi"/>
          <w:color w:val="000000"/>
          <w:sz w:val="24"/>
          <w:szCs w:val="24"/>
        </w:rPr>
        <w:t>МСКО</w:t>
      </w:r>
      <w:r w:rsidR="00236F55" w:rsidRPr="00236F55">
        <w:rPr>
          <w:rFonts w:asciiTheme="majorBidi" w:hAnsiTheme="majorBidi" w:cstheme="majorBidi"/>
          <w:color w:val="000000"/>
          <w:sz w:val="24"/>
          <w:szCs w:val="24"/>
        </w:rPr>
        <w:t xml:space="preserve"> 5); </w:t>
      </w:r>
      <w:r w:rsidR="00806429">
        <w:rPr>
          <w:rFonts w:asciiTheme="majorBidi" w:hAnsiTheme="majorBidi" w:cstheme="majorBidi"/>
          <w:color w:val="000000"/>
          <w:sz w:val="24"/>
          <w:szCs w:val="24"/>
        </w:rPr>
        <w:t>Второй пример – Исландия, где данные показатели равны</w:t>
      </w:r>
      <w:r w:rsidR="00236F55" w:rsidRPr="00236F55">
        <w:rPr>
          <w:rFonts w:asciiTheme="majorBidi" w:hAnsiTheme="majorBidi" w:cstheme="majorBidi"/>
          <w:color w:val="000000"/>
          <w:sz w:val="24"/>
          <w:szCs w:val="24"/>
        </w:rPr>
        <w:t xml:space="preserve"> 10% </w:t>
      </w:r>
      <w:r w:rsidR="00806429">
        <w:rPr>
          <w:rFonts w:asciiTheme="majorBidi" w:hAnsiTheme="majorBidi" w:cstheme="majorBidi"/>
          <w:color w:val="000000"/>
          <w:sz w:val="24"/>
          <w:szCs w:val="24"/>
        </w:rPr>
        <w:t xml:space="preserve">для учителей средней школы </w:t>
      </w:r>
      <w:r w:rsidR="00236F55" w:rsidRPr="00236F55">
        <w:rPr>
          <w:rFonts w:asciiTheme="majorBidi" w:hAnsiTheme="majorBidi" w:cstheme="majorBidi"/>
          <w:color w:val="000000"/>
          <w:sz w:val="24"/>
          <w:szCs w:val="24"/>
        </w:rPr>
        <w:t xml:space="preserve"> 5% </w:t>
      </w:r>
      <w:r w:rsidR="00806429">
        <w:rPr>
          <w:rFonts w:asciiTheme="majorBidi" w:hAnsiTheme="majorBidi" w:cstheme="majorBidi"/>
          <w:color w:val="000000"/>
          <w:sz w:val="24"/>
          <w:szCs w:val="24"/>
        </w:rPr>
        <w:t>для преподавателей старших классов средней школы</w:t>
      </w:r>
      <w:r w:rsidR="00236F55" w:rsidRPr="00236F55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. </w:t>
      </w:r>
    </w:p>
    <w:p w:rsidR="00236F55" w:rsidRPr="00236F55" w:rsidRDefault="00236F55" w:rsidP="00236F55">
      <w:pPr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236F55" w:rsidRDefault="00236F55" w:rsidP="00236F55">
      <w:pPr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Страница 149</w:t>
      </w:r>
    </w:p>
    <w:p w:rsidR="00806429" w:rsidRDefault="00806429" w:rsidP="00236F55">
      <w:pPr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7B390A" w:rsidRDefault="00806429" w:rsidP="00DB6E7F">
      <w:pPr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С другой стороны, и образование на уровне </w:t>
      </w:r>
      <w:r w:rsidRPr="00806429">
        <w:rPr>
          <w:rFonts w:asciiTheme="majorBidi" w:hAnsiTheme="majorBidi" w:cstheme="majorBidi"/>
          <w:color w:val="000000"/>
          <w:sz w:val="24"/>
          <w:szCs w:val="24"/>
        </w:rPr>
        <w:t>МСКО 6 (Докторская степень)</w:t>
      </w:r>
      <w:r w:rsidR="007B390A" w:rsidRPr="007B390A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>
        <w:rPr>
          <w:rFonts w:asciiTheme="majorBidi" w:hAnsiTheme="majorBidi" w:cstheme="majorBidi"/>
          <w:color w:val="000000"/>
          <w:sz w:val="24"/>
          <w:szCs w:val="24"/>
        </w:rPr>
        <w:t>на всех образовательных ступенях по всем принявшим участие в соцопросе сранам</w:t>
      </w:r>
      <w:r w:rsidR="007B390A" w:rsidRPr="007B390A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>
        <w:rPr>
          <w:rFonts w:asciiTheme="majorBidi" w:hAnsiTheme="majorBidi" w:cstheme="majorBidi"/>
          <w:color w:val="000000"/>
          <w:sz w:val="24"/>
          <w:szCs w:val="24"/>
        </w:rPr>
        <w:t>получило довольно небольшое число учителей</w:t>
      </w:r>
      <w:r w:rsidR="007B390A" w:rsidRPr="007B390A">
        <w:rPr>
          <w:rFonts w:asciiTheme="majorBidi" w:hAnsiTheme="majorBidi" w:cstheme="majorBidi"/>
          <w:color w:val="000000"/>
          <w:sz w:val="24"/>
          <w:szCs w:val="24"/>
        </w:rPr>
        <w:t xml:space="preserve"> (</w:t>
      </w:r>
      <w:r>
        <w:rPr>
          <w:rFonts w:asciiTheme="majorBidi" w:hAnsiTheme="majorBidi" w:cstheme="majorBidi"/>
          <w:color w:val="000000"/>
          <w:sz w:val="24"/>
          <w:szCs w:val="24"/>
        </w:rPr>
        <w:t>менее</w:t>
      </w:r>
      <w:r w:rsidR="007B390A" w:rsidRPr="007B390A">
        <w:rPr>
          <w:rFonts w:asciiTheme="majorBidi" w:hAnsiTheme="majorBidi" w:cstheme="majorBidi"/>
          <w:color w:val="000000"/>
          <w:sz w:val="24"/>
          <w:szCs w:val="24"/>
        </w:rPr>
        <w:t xml:space="preserve"> 4% </w:t>
      </w:r>
      <w:r>
        <w:rPr>
          <w:rFonts w:asciiTheme="majorBidi" w:hAnsiTheme="majorBidi" w:cstheme="majorBidi"/>
          <w:color w:val="000000"/>
          <w:sz w:val="24"/>
          <w:szCs w:val="24"/>
        </w:rPr>
        <w:t>в целом для всех стран и всех ступеней среднего школьного образования</w:t>
      </w:r>
      <w:r w:rsidR="007B390A" w:rsidRPr="007B390A">
        <w:rPr>
          <w:rFonts w:asciiTheme="majorBidi" w:hAnsiTheme="majorBidi" w:cstheme="majorBidi"/>
          <w:color w:val="000000"/>
          <w:sz w:val="24"/>
          <w:szCs w:val="24"/>
        </w:rPr>
        <w:t xml:space="preserve">). </w:t>
      </w:r>
      <w:r>
        <w:rPr>
          <w:rFonts w:asciiTheme="majorBidi" w:hAnsiTheme="majorBidi" w:cstheme="majorBidi"/>
          <w:color w:val="000000"/>
          <w:sz w:val="24"/>
          <w:szCs w:val="24"/>
        </w:rPr>
        <w:t>В среднем</w:t>
      </w:r>
      <w:r w:rsidR="007B390A" w:rsidRPr="007B390A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>
        <w:rPr>
          <w:rFonts w:asciiTheme="majorBidi" w:hAnsiTheme="majorBidi" w:cstheme="majorBidi"/>
          <w:color w:val="000000"/>
          <w:sz w:val="24"/>
          <w:szCs w:val="24"/>
        </w:rPr>
        <w:t>разница между уровнем полученного образования была незначительной</w:t>
      </w:r>
      <w:r w:rsidR="007B390A" w:rsidRPr="007B390A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>
        <w:rPr>
          <w:rFonts w:asciiTheme="majorBidi" w:hAnsiTheme="majorBidi" w:cstheme="majorBidi"/>
          <w:color w:val="000000"/>
          <w:sz w:val="24"/>
          <w:szCs w:val="24"/>
        </w:rPr>
        <w:t>более высокий процент наблюдался среди преподавателей старшей школы</w:t>
      </w:r>
      <w:r w:rsidR="007B390A" w:rsidRPr="007B390A">
        <w:rPr>
          <w:rFonts w:asciiTheme="majorBidi" w:hAnsiTheme="majorBidi" w:cstheme="majorBidi"/>
          <w:color w:val="000000"/>
          <w:sz w:val="24"/>
          <w:szCs w:val="24"/>
        </w:rPr>
        <w:t xml:space="preserve"> (2%)</w:t>
      </w:r>
      <w:r>
        <w:rPr>
          <w:rFonts w:asciiTheme="majorBidi" w:hAnsiTheme="majorBidi" w:cstheme="majorBidi"/>
          <w:color w:val="000000"/>
          <w:sz w:val="24"/>
          <w:szCs w:val="24"/>
        </w:rPr>
        <w:t>,</w:t>
      </w:r>
      <w:r w:rsidR="007B390A" w:rsidRPr="007B390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>менее</w:t>
      </w:r>
      <w:r w:rsidR="007B390A" w:rsidRPr="007B390A">
        <w:rPr>
          <w:rFonts w:asciiTheme="majorBidi" w:hAnsiTheme="majorBidi" w:cstheme="majorBidi"/>
          <w:color w:val="000000"/>
          <w:sz w:val="24"/>
          <w:szCs w:val="24"/>
        </w:rPr>
        <w:t xml:space="preserve"> 0.5% </w:t>
      </w:r>
      <w:r>
        <w:rPr>
          <w:rFonts w:asciiTheme="majorBidi" w:hAnsiTheme="majorBidi" w:cstheme="majorBidi"/>
          <w:color w:val="000000"/>
          <w:sz w:val="24"/>
          <w:szCs w:val="24"/>
        </w:rPr>
        <w:t>для младшей школы и</w:t>
      </w:r>
      <w:r w:rsidR="007B390A" w:rsidRPr="007B390A">
        <w:rPr>
          <w:rFonts w:asciiTheme="majorBidi" w:hAnsiTheme="majorBidi" w:cstheme="majorBidi"/>
          <w:color w:val="000000"/>
          <w:sz w:val="24"/>
          <w:szCs w:val="24"/>
        </w:rPr>
        <w:t xml:space="preserve"> 1% </w:t>
      </w:r>
      <w:r>
        <w:rPr>
          <w:rFonts w:asciiTheme="majorBidi" w:hAnsiTheme="majorBidi" w:cstheme="majorBidi"/>
          <w:color w:val="000000"/>
          <w:sz w:val="24"/>
          <w:szCs w:val="24"/>
        </w:rPr>
        <w:t>для младших классов средней школы</w:t>
      </w:r>
      <w:r w:rsidR="007B390A" w:rsidRPr="007B390A">
        <w:rPr>
          <w:rFonts w:asciiTheme="majorBidi" w:hAnsiTheme="majorBidi" w:cstheme="majorBidi"/>
          <w:color w:val="000000"/>
          <w:sz w:val="24"/>
          <w:szCs w:val="24"/>
        </w:rPr>
        <w:t xml:space="preserve"> (</w:t>
      </w:r>
      <w:r>
        <w:rPr>
          <w:rFonts w:asciiTheme="majorBidi" w:hAnsiTheme="majorBidi" w:cstheme="majorBidi"/>
          <w:color w:val="000000"/>
          <w:sz w:val="24"/>
          <w:szCs w:val="24"/>
        </w:rPr>
        <w:t>см. также рис.</w:t>
      </w:r>
      <w:r w:rsidR="007B390A" w:rsidRPr="007B390A">
        <w:rPr>
          <w:rFonts w:asciiTheme="majorBidi" w:hAnsiTheme="majorBidi" w:cstheme="majorBidi"/>
          <w:color w:val="000000"/>
          <w:sz w:val="24"/>
          <w:szCs w:val="24"/>
        </w:rPr>
        <w:t xml:space="preserve"> 6.3). </w:t>
      </w:r>
      <w:r>
        <w:rPr>
          <w:rFonts w:asciiTheme="majorBidi" w:hAnsiTheme="majorBidi" w:cstheme="majorBidi"/>
          <w:color w:val="000000"/>
          <w:sz w:val="24"/>
          <w:szCs w:val="24"/>
        </w:rPr>
        <w:t>Что касается профильного образования и треннингов для учителей</w:t>
      </w:r>
      <w:r w:rsidR="007B390A" w:rsidRPr="007B390A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большиство учителей, работающих на всех образовательных ступенях средней школы, </w:t>
      </w:r>
      <w:r w:rsidR="007B390A" w:rsidRPr="007B390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4545FF">
        <w:rPr>
          <w:rFonts w:asciiTheme="majorBidi" w:hAnsiTheme="majorBidi" w:cstheme="majorBidi"/>
          <w:color w:val="000000"/>
          <w:sz w:val="24"/>
          <w:szCs w:val="24"/>
        </w:rPr>
        <w:t>окончило какие либо курсы повышения квалификации или треннинги для преподавателей</w:t>
      </w:r>
      <w:r w:rsidR="007B390A" w:rsidRPr="007B390A">
        <w:rPr>
          <w:rFonts w:asciiTheme="majorBidi" w:hAnsiTheme="majorBidi" w:cstheme="majorBidi"/>
          <w:color w:val="000000"/>
          <w:sz w:val="24"/>
          <w:szCs w:val="24"/>
        </w:rPr>
        <w:t xml:space="preserve"> (</w:t>
      </w:r>
      <w:r w:rsidR="004545FF">
        <w:rPr>
          <w:rFonts w:asciiTheme="majorBidi" w:hAnsiTheme="majorBidi" w:cstheme="majorBidi"/>
          <w:color w:val="000000"/>
          <w:sz w:val="24"/>
          <w:szCs w:val="24"/>
        </w:rPr>
        <w:t>рис.</w:t>
      </w:r>
      <w:r w:rsidR="007B390A" w:rsidRPr="007B390A">
        <w:rPr>
          <w:rFonts w:asciiTheme="majorBidi" w:hAnsiTheme="majorBidi" w:cstheme="majorBidi"/>
          <w:color w:val="000000"/>
          <w:sz w:val="24"/>
          <w:szCs w:val="24"/>
        </w:rPr>
        <w:t xml:space="preserve"> 6.3). </w:t>
      </w:r>
      <w:r w:rsidR="004545FF">
        <w:rPr>
          <w:rFonts w:asciiTheme="majorBidi" w:hAnsiTheme="majorBidi" w:cstheme="majorBidi"/>
          <w:color w:val="000000"/>
          <w:sz w:val="24"/>
          <w:szCs w:val="24"/>
        </w:rPr>
        <w:t>Более того</w:t>
      </w:r>
      <w:r w:rsidR="007B390A" w:rsidRPr="007B390A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="004545FF">
        <w:rPr>
          <w:rFonts w:asciiTheme="majorBidi" w:hAnsiTheme="majorBidi" w:cstheme="majorBidi"/>
          <w:color w:val="000000"/>
          <w:sz w:val="24"/>
          <w:szCs w:val="24"/>
        </w:rPr>
        <w:t>наблюдаются лишь небольшие отличия</w:t>
      </w:r>
      <w:r w:rsidR="007B390A" w:rsidRPr="007B390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DB6E7F">
        <w:rPr>
          <w:rFonts w:asciiTheme="majorBidi" w:hAnsiTheme="majorBidi" w:cstheme="majorBidi"/>
          <w:color w:val="000000"/>
          <w:sz w:val="24"/>
          <w:szCs w:val="24"/>
        </w:rPr>
        <w:t>в образовании, полученном посредством подобных треннингов</w:t>
      </w:r>
      <w:r w:rsidR="007B390A" w:rsidRPr="007B390A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  <w:r w:rsidR="00DB6E7F">
        <w:rPr>
          <w:rFonts w:asciiTheme="majorBidi" w:hAnsiTheme="majorBidi" w:cstheme="majorBidi"/>
          <w:color w:val="000000"/>
          <w:sz w:val="24"/>
          <w:szCs w:val="24"/>
        </w:rPr>
        <w:t>Это верно для всех стран, кроме Мексики</w:t>
      </w:r>
      <w:r w:rsidR="007B390A" w:rsidRPr="007B390A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="00DB6E7F">
        <w:rPr>
          <w:rFonts w:asciiTheme="majorBidi" w:hAnsiTheme="majorBidi" w:cstheme="majorBidi"/>
          <w:color w:val="000000"/>
          <w:sz w:val="24"/>
          <w:szCs w:val="24"/>
        </w:rPr>
        <w:t xml:space="preserve">где лишь каждый четвертый преподаватель старших классов средней школы окончил определенный курс повышения квалификации, </w:t>
      </w:r>
      <w:r w:rsidR="007B390A" w:rsidRPr="007B390A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DB6E7F">
        <w:rPr>
          <w:rFonts w:asciiTheme="majorBidi" w:hAnsiTheme="majorBidi" w:cstheme="majorBidi"/>
          <w:color w:val="000000"/>
          <w:sz w:val="24"/>
          <w:szCs w:val="24"/>
        </w:rPr>
        <w:t>в сравнении</w:t>
      </w:r>
      <w:r w:rsidR="007B390A" w:rsidRPr="007B390A">
        <w:rPr>
          <w:rFonts w:asciiTheme="majorBidi" w:hAnsiTheme="majorBidi" w:cstheme="majorBidi"/>
          <w:color w:val="000000"/>
          <w:sz w:val="24"/>
          <w:szCs w:val="24"/>
        </w:rPr>
        <w:t xml:space="preserve"> 82% </w:t>
      </w:r>
      <w:r w:rsidR="00DB6E7F">
        <w:rPr>
          <w:rFonts w:asciiTheme="majorBidi" w:hAnsiTheme="majorBidi" w:cstheme="majorBidi"/>
          <w:color w:val="000000"/>
          <w:sz w:val="24"/>
          <w:szCs w:val="24"/>
        </w:rPr>
        <w:t xml:space="preserve">для этого же показателя среди учителей младших классов, и 62% - для преподавателей младших классов средней школы </w:t>
      </w:r>
      <w:r w:rsidR="007B390A" w:rsidRPr="007B390A">
        <w:rPr>
          <w:rFonts w:asciiTheme="majorBidi" w:hAnsiTheme="majorBidi" w:cstheme="majorBidi"/>
          <w:color w:val="000000"/>
          <w:sz w:val="24"/>
          <w:szCs w:val="24"/>
        </w:rPr>
        <w:t>(</w:t>
      </w:r>
      <w:r w:rsidR="00DB6E7F">
        <w:rPr>
          <w:rFonts w:asciiTheme="majorBidi" w:hAnsiTheme="majorBidi" w:cstheme="majorBidi"/>
          <w:color w:val="000000"/>
          <w:sz w:val="24"/>
          <w:szCs w:val="24"/>
        </w:rPr>
        <w:t>см. также рис.</w:t>
      </w:r>
      <w:r w:rsidR="007B390A" w:rsidRPr="007B390A">
        <w:rPr>
          <w:rFonts w:asciiTheme="majorBidi" w:hAnsiTheme="majorBidi" w:cstheme="majorBidi"/>
          <w:color w:val="000000"/>
          <w:sz w:val="24"/>
          <w:szCs w:val="24"/>
        </w:rPr>
        <w:t xml:space="preserve"> 6.4).</w:t>
      </w:r>
    </w:p>
    <w:p w:rsidR="00DB6E7F" w:rsidRDefault="00DB6E7F" w:rsidP="00DB6E7F">
      <w:pPr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7B390A" w:rsidRPr="007B390A" w:rsidRDefault="007B390A" w:rsidP="00DB6E7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B390A">
        <w:rPr>
          <w:rFonts w:asciiTheme="majorBidi" w:hAnsiTheme="majorBidi" w:cstheme="majorBidi"/>
          <w:sz w:val="24"/>
          <w:szCs w:val="24"/>
        </w:rPr>
        <w:t xml:space="preserve">• </w:t>
      </w:r>
      <w:r w:rsidR="00DB6E7F">
        <w:rPr>
          <w:rFonts w:asciiTheme="majorBidi" w:hAnsiTheme="majorBidi" w:cstheme="majorBidi"/>
          <w:sz w:val="24"/>
          <w:szCs w:val="24"/>
        </w:rPr>
        <w:t>Рисунок</w:t>
      </w:r>
      <w:r w:rsidRPr="007B390A">
        <w:rPr>
          <w:rFonts w:asciiTheme="majorBidi" w:hAnsiTheme="majorBidi" w:cstheme="majorBidi"/>
          <w:sz w:val="24"/>
          <w:szCs w:val="24"/>
        </w:rPr>
        <w:t xml:space="preserve"> 6.2 •</w:t>
      </w:r>
    </w:p>
    <w:p w:rsidR="007B390A" w:rsidRPr="007B390A" w:rsidRDefault="00DB6E7F" w:rsidP="00DB6E7F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Опыт работы преподавателей, согласно уровням</w:t>
      </w:r>
      <w:r w:rsidR="007B390A" w:rsidRPr="007B390A">
        <w:rPr>
          <w:rFonts w:asciiTheme="majorBidi" w:hAnsiTheme="majorBidi" w:cstheme="majorBidi"/>
          <w:sz w:val="24"/>
          <w:szCs w:val="24"/>
        </w:rPr>
        <w:t xml:space="preserve"> </w:t>
      </w:r>
      <w:r w:rsidR="00D657E5">
        <w:rPr>
          <w:rFonts w:asciiTheme="majorBidi" w:hAnsiTheme="majorBidi" w:cstheme="majorBidi"/>
          <w:sz w:val="24"/>
          <w:szCs w:val="24"/>
        </w:rPr>
        <w:t>МСКО</w:t>
      </w:r>
      <w:r w:rsidR="007B390A" w:rsidRPr="007B390A">
        <w:rPr>
          <w:rFonts w:asciiTheme="majorBidi" w:hAnsiTheme="majorBidi" w:cstheme="majorBidi"/>
          <w:sz w:val="24"/>
          <w:szCs w:val="24"/>
        </w:rPr>
        <w:t xml:space="preserve"> </w:t>
      </w:r>
    </w:p>
    <w:p w:rsidR="007B390A" w:rsidRDefault="00DB6E7F" w:rsidP="005C2C0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Среднее количество лет работы по про</w:t>
      </w:r>
      <w:r w:rsidR="005C2C0B">
        <w:rPr>
          <w:rFonts w:asciiTheme="majorBidi" w:hAnsiTheme="majorBidi" w:cstheme="majorBidi"/>
          <w:sz w:val="24"/>
          <w:szCs w:val="24"/>
          <w:lang w:val="en-US"/>
        </w:rPr>
        <w:t>a</w:t>
      </w:r>
      <w:r>
        <w:rPr>
          <w:rFonts w:asciiTheme="majorBidi" w:hAnsiTheme="majorBidi" w:cstheme="majorBidi"/>
          <w:sz w:val="24"/>
          <w:szCs w:val="24"/>
        </w:rPr>
        <w:t>ессии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7848"/>
      </w:tblGrid>
      <w:tr w:rsidR="009F412F" w:rsidTr="009F412F">
        <w:tc>
          <w:tcPr>
            <w:tcW w:w="1728" w:type="dxa"/>
          </w:tcPr>
          <w:p w:rsidR="009F412F" w:rsidRPr="009F412F" w:rsidRDefault="009F412F" w:rsidP="007B390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Показатель 1</w:t>
            </w:r>
          </w:p>
        </w:tc>
        <w:tc>
          <w:tcPr>
            <w:tcW w:w="7848" w:type="dxa"/>
          </w:tcPr>
          <w:p w:rsidR="009F412F" w:rsidRPr="009F412F" w:rsidRDefault="009F412F" w:rsidP="007B390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Начальная школа</w:t>
            </w:r>
          </w:p>
        </w:tc>
      </w:tr>
      <w:tr w:rsidR="009F412F" w:rsidTr="009F412F">
        <w:tc>
          <w:tcPr>
            <w:tcW w:w="1728" w:type="dxa"/>
          </w:tcPr>
          <w:p w:rsidR="009F412F" w:rsidRPr="009F412F" w:rsidRDefault="009F412F" w:rsidP="007B390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Показатель 2</w:t>
            </w:r>
          </w:p>
        </w:tc>
        <w:tc>
          <w:tcPr>
            <w:tcW w:w="7848" w:type="dxa"/>
          </w:tcPr>
          <w:p w:rsidR="009F412F" w:rsidRPr="009F412F" w:rsidRDefault="009F412F" w:rsidP="007B390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Младшие классы средней школы</w:t>
            </w:r>
          </w:p>
        </w:tc>
      </w:tr>
      <w:tr w:rsidR="009F412F" w:rsidTr="009F412F">
        <w:tc>
          <w:tcPr>
            <w:tcW w:w="1728" w:type="dxa"/>
          </w:tcPr>
          <w:p w:rsidR="009F412F" w:rsidRPr="009F412F" w:rsidRDefault="009F412F" w:rsidP="007B390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Показатель 3</w:t>
            </w:r>
          </w:p>
        </w:tc>
        <w:tc>
          <w:tcPr>
            <w:tcW w:w="7848" w:type="dxa"/>
          </w:tcPr>
          <w:p w:rsidR="009F412F" w:rsidRPr="009F412F" w:rsidRDefault="009F412F" w:rsidP="007B390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Старшие классы</w:t>
            </w:r>
          </w:p>
        </w:tc>
      </w:tr>
    </w:tbl>
    <w:p w:rsidR="005C2C0B" w:rsidRPr="005C2C0B" w:rsidRDefault="005C2C0B" w:rsidP="007B390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7B390A" w:rsidRDefault="007B390A" w:rsidP="007B390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>
            <wp:extent cx="5486400" cy="320040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400A8" w:rsidRPr="001400A8" w:rsidRDefault="001400A8" w:rsidP="001400A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400A8">
        <w:rPr>
          <w:rFonts w:asciiTheme="majorBidi" w:hAnsiTheme="majorBidi" w:cstheme="majorBidi"/>
          <w:sz w:val="24"/>
          <w:szCs w:val="24"/>
        </w:rPr>
        <w:t xml:space="preserve">Страны расположены в убывающем </w:t>
      </w:r>
      <w:r w:rsidR="00D657E5">
        <w:rPr>
          <w:rFonts w:asciiTheme="majorBidi" w:hAnsiTheme="majorBidi" w:cstheme="majorBidi"/>
          <w:sz w:val="24"/>
          <w:szCs w:val="24"/>
        </w:rPr>
        <w:t xml:space="preserve">порядке, </w:t>
      </w:r>
      <w:r w:rsidRPr="001400A8">
        <w:rPr>
          <w:rFonts w:asciiTheme="majorBidi" w:hAnsiTheme="majorBidi" w:cstheme="majorBidi"/>
          <w:sz w:val="24"/>
          <w:szCs w:val="24"/>
        </w:rPr>
        <w:t>согласно данным по младшему среднему образованию.</w:t>
      </w:r>
    </w:p>
    <w:p w:rsidR="001400A8" w:rsidRPr="001400A8" w:rsidRDefault="001400A8" w:rsidP="001400A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400A8">
        <w:rPr>
          <w:rFonts w:asciiTheme="majorBidi" w:hAnsiTheme="majorBidi" w:cstheme="majorBidi"/>
          <w:sz w:val="24"/>
          <w:szCs w:val="24"/>
        </w:rPr>
        <w:t>Источник: OЭСР, Международный Соцопрос о Преподавании и Обучении, 2013, База данных.</w:t>
      </w:r>
    </w:p>
    <w:p w:rsidR="007B390A" w:rsidRDefault="001400A8" w:rsidP="001400A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400A8">
        <w:rPr>
          <w:rFonts w:asciiTheme="majorBidi" w:hAnsiTheme="majorBidi" w:cstheme="majorBidi"/>
          <w:sz w:val="24"/>
          <w:szCs w:val="24"/>
        </w:rPr>
        <w:t>Ссылка:</w:t>
      </w:r>
      <w:r w:rsidR="007B390A" w:rsidRPr="007B390A">
        <w:rPr>
          <w:rFonts w:asciiTheme="majorBidi" w:hAnsiTheme="majorBidi" w:cstheme="majorBidi"/>
          <w:sz w:val="24"/>
          <w:szCs w:val="24"/>
        </w:rPr>
        <w:t xml:space="preserve">: </w:t>
      </w:r>
      <w:hyperlink r:id="rId10" w:history="1">
        <w:r w:rsidR="007B390A" w:rsidRPr="0092068A">
          <w:rPr>
            <w:rStyle w:val="Hyperlink"/>
            <w:rFonts w:asciiTheme="majorBidi" w:hAnsiTheme="majorBidi" w:cstheme="majorBidi"/>
            <w:sz w:val="24"/>
            <w:szCs w:val="24"/>
          </w:rPr>
          <w:t>http://dx.doi.org/10.1787/888933166100</w:t>
        </w:r>
      </w:hyperlink>
    </w:p>
    <w:p w:rsidR="007B390A" w:rsidRDefault="007B390A" w:rsidP="007B390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B390A" w:rsidRPr="007B390A" w:rsidRDefault="00C1599F" w:rsidP="002D22F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Данные международного Соцопроса об Образовании и Обучении</w:t>
      </w:r>
      <w:r w:rsidR="007B390A" w:rsidRPr="007B390A">
        <w:rPr>
          <w:rFonts w:asciiTheme="majorBidi" w:hAnsiTheme="majorBidi" w:cstheme="majorBidi"/>
          <w:sz w:val="24"/>
          <w:szCs w:val="24"/>
        </w:rPr>
        <w:t xml:space="preserve"> </w:t>
      </w:r>
      <w:r w:rsidR="00C96822">
        <w:rPr>
          <w:rFonts w:asciiTheme="majorBidi" w:hAnsiTheme="majorBidi" w:cstheme="majorBidi"/>
          <w:sz w:val="24"/>
          <w:szCs w:val="24"/>
        </w:rPr>
        <w:t xml:space="preserve">показывают, что,в среднем по опрошенным странам, существует небольшая разница </w:t>
      </w:r>
      <w:r w:rsidR="007B390A" w:rsidRPr="007B390A">
        <w:rPr>
          <w:rFonts w:asciiTheme="majorBidi" w:hAnsiTheme="majorBidi" w:cstheme="majorBidi"/>
          <w:sz w:val="24"/>
          <w:szCs w:val="24"/>
        </w:rPr>
        <w:t xml:space="preserve"> </w:t>
      </w:r>
      <w:r w:rsidR="00C96822">
        <w:rPr>
          <w:rFonts w:asciiTheme="majorBidi" w:hAnsiTheme="majorBidi" w:cstheme="majorBidi"/>
          <w:sz w:val="24"/>
          <w:szCs w:val="24"/>
        </w:rPr>
        <w:t xml:space="preserve">в элементах, включенных в программу треннингов или курсов повышения квалификации для преподавателей для уровней начальной и средней ступени средней школы. </w:t>
      </w:r>
      <w:r w:rsidR="007B390A" w:rsidRPr="007B390A">
        <w:rPr>
          <w:rFonts w:asciiTheme="majorBidi" w:hAnsiTheme="majorBidi" w:cstheme="majorBidi"/>
          <w:sz w:val="24"/>
          <w:szCs w:val="24"/>
        </w:rPr>
        <w:t xml:space="preserve"> </w:t>
      </w:r>
      <w:r w:rsidR="00C96822">
        <w:rPr>
          <w:rFonts w:asciiTheme="majorBidi" w:hAnsiTheme="majorBidi" w:cstheme="majorBidi"/>
          <w:sz w:val="24"/>
          <w:szCs w:val="24"/>
        </w:rPr>
        <w:t xml:space="preserve">По странам, предоставившим данные по всем показателям, </w:t>
      </w:r>
      <w:r w:rsidR="007B390A" w:rsidRPr="007B390A">
        <w:rPr>
          <w:rFonts w:asciiTheme="majorBidi" w:hAnsiTheme="majorBidi" w:cstheme="majorBidi"/>
          <w:sz w:val="24"/>
          <w:szCs w:val="24"/>
        </w:rPr>
        <w:t xml:space="preserve"> 67% </w:t>
      </w:r>
      <w:r w:rsidR="00C96822">
        <w:rPr>
          <w:rFonts w:asciiTheme="majorBidi" w:hAnsiTheme="majorBidi" w:cstheme="majorBidi"/>
          <w:sz w:val="24"/>
          <w:szCs w:val="24"/>
        </w:rPr>
        <w:t>преподавателей начальной школы, и</w:t>
      </w:r>
    </w:p>
    <w:p w:rsidR="007B390A" w:rsidRDefault="007B390A" w:rsidP="002D22F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B390A">
        <w:rPr>
          <w:rFonts w:asciiTheme="majorBidi" w:hAnsiTheme="majorBidi" w:cstheme="majorBidi"/>
          <w:sz w:val="24"/>
          <w:szCs w:val="24"/>
        </w:rPr>
        <w:t xml:space="preserve">70% </w:t>
      </w:r>
      <w:r w:rsidR="00C96822">
        <w:rPr>
          <w:rFonts w:asciiTheme="majorBidi" w:hAnsiTheme="majorBidi" w:cstheme="majorBidi"/>
          <w:sz w:val="24"/>
          <w:szCs w:val="24"/>
        </w:rPr>
        <w:t>преподавателей младших классов средней школы и старших классов средней школы</w:t>
      </w:r>
      <w:r w:rsidRPr="007B390A">
        <w:rPr>
          <w:rFonts w:asciiTheme="majorBidi" w:hAnsiTheme="majorBidi" w:cstheme="majorBidi"/>
          <w:sz w:val="24"/>
          <w:szCs w:val="24"/>
        </w:rPr>
        <w:t xml:space="preserve"> </w:t>
      </w:r>
      <w:r w:rsidR="00C96822">
        <w:rPr>
          <w:rFonts w:asciiTheme="majorBidi" w:hAnsiTheme="majorBidi" w:cstheme="majorBidi"/>
          <w:sz w:val="24"/>
          <w:szCs w:val="24"/>
        </w:rPr>
        <w:t>прошли курс повышения квалификации по преподаваемому ими предмету. По  странам, предоставившим данные для двух показателей исследования</w:t>
      </w:r>
      <w:r w:rsidRPr="007B390A">
        <w:rPr>
          <w:rFonts w:asciiTheme="majorBidi" w:hAnsiTheme="majorBidi" w:cstheme="majorBidi"/>
          <w:sz w:val="24"/>
          <w:szCs w:val="24"/>
        </w:rPr>
        <w:t xml:space="preserve">, 70% </w:t>
      </w:r>
      <w:r w:rsidR="00C96822">
        <w:rPr>
          <w:rFonts w:asciiTheme="majorBidi" w:hAnsiTheme="majorBidi" w:cstheme="majorBidi"/>
          <w:sz w:val="24"/>
          <w:szCs w:val="24"/>
        </w:rPr>
        <w:t>учителей начальной школы</w:t>
      </w:r>
      <w:r w:rsidRPr="007B390A">
        <w:rPr>
          <w:rFonts w:asciiTheme="majorBidi" w:hAnsiTheme="majorBidi" w:cstheme="majorBidi"/>
          <w:sz w:val="24"/>
          <w:szCs w:val="24"/>
        </w:rPr>
        <w:t xml:space="preserve"> </w:t>
      </w:r>
      <w:r w:rsidR="00C96822">
        <w:rPr>
          <w:rFonts w:asciiTheme="majorBidi" w:hAnsiTheme="majorBidi" w:cstheme="majorBidi"/>
          <w:sz w:val="24"/>
          <w:szCs w:val="24"/>
        </w:rPr>
        <w:t>говорят о том, что данный элемент был включен в программу пройденных имим курсов</w:t>
      </w:r>
      <w:r w:rsidRPr="007B390A">
        <w:rPr>
          <w:rFonts w:asciiTheme="majorBidi" w:hAnsiTheme="majorBidi" w:cstheme="majorBidi"/>
          <w:sz w:val="24"/>
          <w:szCs w:val="24"/>
        </w:rPr>
        <w:t xml:space="preserve">, </w:t>
      </w:r>
      <w:r w:rsidR="00C96822">
        <w:rPr>
          <w:rFonts w:asciiTheme="majorBidi" w:hAnsiTheme="majorBidi" w:cstheme="majorBidi"/>
          <w:sz w:val="24"/>
          <w:szCs w:val="24"/>
        </w:rPr>
        <w:t>в сравнении с</w:t>
      </w:r>
      <w:r w:rsidRPr="007B390A">
        <w:rPr>
          <w:rFonts w:asciiTheme="majorBidi" w:hAnsiTheme="majorBidi" w:cstheme="majorBidi"/>
          <w:sz w:val="24"/>
          <w:szCs w:val="24"/>
        </w:rPr>
        <w:t xml:space="preserve"> 71% </w:t>
      </w:r>
      <w:r w:rsidR="00C96822">
        <w:rPr>
          <w:rFonts w:asciiTheme="majorBidi" w:hAnsiTheme="majorBidi" w:cstheme="majorBidi"/>
          <w:sz w:val="24"/>
          <w:szCs w:val="24"/>
        </w:rPr>
        <w:t>процентом учителей средней школы по тому-же параметру.</w:t>
      </w:r>
      <w:r w:rsidRPr="007B390A">
        <w:rPr>
          <w:rFonts w:asciiTheme="majorBidi" w:hAnsiTheme="majorBidi" w:cstheme="majorBidi"/>
          <w:sz w:val="24"/>
          <w:szCs w:val="24"/>
        </w:rPr>
        <w:t xml:space="preserve"> </w:t>
      </w:r>
      <w:r w:rsidR="00C96822">
        <w:rPr>
          <w:rFonts w:asciiTheme="majorBidi" w:hAnsiTheme="majorBidi" w:cstheme="majorBidi"/>
          <w:sz w:val="24"/>
          <w:szCs w:val="24"/>
        </w:rPr>
        <w:t xml:space="preserve">Средние цифры равны </w:t>
      </w:r>
      <w:r w:rsidR="002D22F3">
        <w:rPr>
          <w:rFonts w:asciiTheme="majorBidi" w:hAnsiTheme="majorBidi" w:cstheme="majorBidi"/>
          <w:sz w:val="24"/>
          <w:szCs w:val="24"/>
        </w:rPr>
        <w:t>соответственно</w:t>
      </w:r>
      <w:r w:rsidR="00C96822">
        <w:rPr>
          <w:rFonts w:asciiTheme="majorBidi" w:hAnsiTheme="majorBidi" w:cstheme="majorBidi"/>
          <w:sz w:val="24"/>
          <w:szCs w:val="24"/>
        </w:rPr>
        <w:t xml:space="preserve"> 67% против</w:t>
      </w:r>
      <w:r w:rsidRPr="007B390A">
        <w:rPr>
          <w:rFonts w:asciiTheme="majorBidi" w:hAnsiTheme="majorBidi" w:cstheme="majorBidi"/>
          <w:sz w:val="24"/>
          <w:szCs w:val="24"/>
        </w:rPr>
        <w:t xml:space="preserve"> 69% </w:t>
      </w:r>
      <w:r w:rsidR="00C96822">
        <w:rPr>
          <w:rFonts w:asciiTheme="majorBidi" w:hAnsiTheme="majorBidi" w:cstheme="majorBidi"/>
          <w:sz w:val="24"/>
          <w:szCs w:val="24"/>
        </w:rPr>
        <w:t>для стран, предоставивших данные по младшим классам средней школы и старшим классам средней школы</w:t>
      </w:r>
      <w:r w:rsidR="002D22F3">
        <w:rPr>
          <w:rFonts w:asciiTheme="majorBidi" w:hAnsiTheme="majorBidi" w:cstheme="majorBidi"/>
          <w:sz w:val="24"/>
          <w:szCs w:val="24"/>
        </w:rPr>
        <w:t>.</w:t>
      </w:r>
      <w:r w:rsidRPr="007B390A">
        <w:rPr>
          <w:rFonts w:asciiTheme="majorBidi" w:hAnsiTheme="majorBidi" w:cstheme="majorBidi"/>
          <w:sz w:val="24"/>
          <w:szCs w:val="24"/>
        </w:rPr>
        <w:t xml:space="preserve"> </w:t>
      </w:r>
      <w:r w:rsidR="002D22F3">
        <w:rPr>
          <w:rFonts w:asciiTheme="majorBidi" w:hAnsiTheme="majorBidi" w:cstheme="majorBidi"/>
          <w:sz w:val="24"/>
          <w:szCs w:val="24"/>
        </w:rPr>
        <w:t xml:space="preserve"> </w:t>
      </w:r>
      <w:r w:rsidRPr="007B390A">
        <w:rPr>
          <w:rFonts w:asciiTheme="majorBidi" w:hAnsiTheme="majorBidi" w:cstheme="majorBidi"/>
          <w:sz w:val="24"/>
          <w:szCs w:val="24"/>
        </w:rPr>
        <w:t xml:space="preserve"> </w:t>
      </w:r>
      <w:r w:rsidR="002D22F3">
        <w:rPr>
          <w:rFonts w:asciiTheme="majorBidi" w:hAnsiTheme="majorBidi" w:cstheme="majorBidi"/>
          <w:sz w:val="24"/>
          <w:szCs w:val="24"/>
        </w:rPr>
        <w:t xml:space="preserve">Особенно четко видна тенденция к возрастанию подобных данных для учителей начальной и средней школ в Дании </w:t>
      </w:r>
      <w:r w:rsidRPr="007B390A">
        <w:rPr>
          <w:rFonts w:asciiTheme="majorBidi" w:hAnsiTheme="majorBidi" w:cstheme="majorBidi"/>
          <w:sz w:val="24"/>
          <w:szCs w:val="24"/>
        </w:rPr>
        <w:t xml:space="preserve">(53% </w:t>
      </w:r>
      <w:r w:rsidR="002D22F3">
        <w:rPr>
          <w:rFonts w:asciiTheme="majorBidi" w:hAnsiTheme="majorBidi" w:cstheme="majorBidi"/>
          <w:sz w:val="24"/>
          <w:szCs w:val="24"/>
        </w:rPr>
        <w:t>преподавателей начальных классов</w:t>
      </w:r>
      <w:r w:rsidRPr="007B390A">
        <w:rPr>
          <w:rFonts w:asciiTheme="majorBidi" w:hAnsiTheme="majorBidi" w:cstheme="majorBidi"/>
          <w:sz w:val="24"/>
          <w:szCs w:val="24"/>
        </w:rPr>
        <w:t xml:space="preserve">, 60% </w:t>
      </w:r>
      <w:r w:rsidR="002D22F3">
        <w:rPr>
          <w:rFonts w:asciiTheme="majorBidi" w:hAnsiTheme="majorBidi" w:cstheme="majorBidi"/>
          <w:sz w:val="24"/>
          <w:szCs w:val="24"/>
        </w:rPr>
        <w:t>учителей младших классов средней школы,</w:t>
      </w:r>
      <w:r w:rsidRPr="007B390A">
        <w:rPr>
          <w:rFonts w:asciiTheme="majorBidi" w:hAnsiTheme="majorBidi" w:cstheme="majorBidi"/>
          <w:sz w:val="24"/>
          <w:szCs w:val="24"/>
        </w:rPr>
        <w:t xml:space="preserve"> 69% </w:t>
      </w:r>
      <w:r w:rsidR="002D22F3">
        <w:rPr>
          <w:rFonts w:asciiTheme="majorBidi" w:hAnsiTheme="majorBidi" w:cstheme="majorBidi"/>
          <w:sz w:val="24"/>
          <w:szCs w:val="24"/>
        </w:rPr>
        <w:t>преподавателей старшей школы</w:t>
      </w:r>
      <w:r w:rsidRPr="007B390A">
        <w:rPr>
          <w:rFonts w:asciiTheme="majorBidi" w:hAnsiTheme="majorBidi" w:cstheme="majorBidi"/>
          <w:sz w:val="24"/>
          <w:szCs w:val="24"/>
        </w:rPr>
        <w:t xml:space="preserve">) </w:t>
      </w:r>
      <w:r w:rsidR="002D22F3">
        <w:rPr>
          <w:rFonts w:asciiTheme="majorBidi" w:hAnsiTheme="majorBidi" w:cstheme="majorBidi"/>
          <w:sz w:val="24"/>
          <w:szCs w:val="24"/>
        </w:rPr>
        <w:t>и Норвегии</w:t>
      </w:r>
      <w:r w:rsidRPr="007B390A">
        <w:rPr>
          <w:rFonts w:asciiTheme="majorBidi" w:hAnsiTheme="majorBidi" w:cstheme="majorBidi"/>
          <w:sz w:val="24"/>
          <w:szCs w:val="24"/>
        </w:rPr>
        <w:t xml:space="preserve"> (42% </w:t>
      </w:r>
      <w:r w:rsidR="002D22F3">
        <w:rPr>
          <w:rFonts w:asciiTheme="majorBidi" w:hAnsiTheme="majorBidi" w:cstheme="majorBidi"/>
          <w:sz w:val="24"/>
          <w:szCs w:val="24"/>
        </w:rPr>
        <w:t>учителей начальных классов</w:t>
      </w:r>
      <w:r w:rsidRPr="007B390A">
        <w:rPr>
          <w:rFonts w:asciiTheme="majorBidi" w:hAnsiTheme="majorBidi" w:cstheme="majorBidi"/>
          <w:sz w:val="24"/>
          <w:szCs w:val="24"/>
        </w:rPr>
        <w:t xml:space="preserve">, 51% </w:t>
      </w:r>
      <w:r w:rsidR="002D22F3">
        <w:rPr>
          <w:rFonts w:asciiTheme="majorBidi" w:hAnsiTheme="majorBidi" w:cstheme="majorBidi"/>
          <w:sz w:val="24"/>
          <w:szCs w:val="24"/>
        </w:rPr>
        <w:t>преподавателей младших классов средней школы, и</w:t>
      </w:r>
      <w:r w:rsidRPr="007B390A">
        <w:rPr>
          <w:rFonts w:asciiTheme="majorBidi" w:hAnsiTheme="majorBidi" w:cstheme="majorBidi"/>
          <w:sz w:val="24"/>
          <w:szCs w:val="24"/>
        </w:rPr>
        <w:t xml:space="preserve"> 58% </w:t>
      </w:r>
      <w:r w:rsidR="002D22F3">
        <w:rPr>
          <w:rFonts w:asciiTheme="majorBidi" w:hAnsiTheme="majorBidi" w:cstheme="majorBidi"/>
          <w:sz w:val="24"/>
          <w:szCs w:val="24"/>
        </w:rPr>
        <w:t>преподавателей старших классов средней школы</w:t>
      </w:r>
      <w:r w:rsidRPr="007B390A">
        <w:rPr>
          <w:rFonts w:asciiTheme="majorBidi" w:hAnsiTheme="majorBidi" w:cstheme="majorBidi"/>
          <w:sz w:val="24"/>
          <w:szCs w:val="24"/>
        </w:rPr>
        <w:t>).</w:t>
      </w:r>
    </w:p>
    <w:p w:rsidR="007B390A" w:rsidRDefault="007B390A" w:rsidP="007B390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B390A" w:rsidRDefault="007B390A" w:rsidP="007B390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Страница 150</w:t>
      </w:r>
    </w:p>
    <w:p w:rsidR="00022B84" w:rsidRDefault="00022B84" w:rsidP="007B390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B390A" w:rsidRDefault="00022B84" w:rsidP="00022B8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Противоположная тенденция наблюдается в Финляндии, однако там наблюдается более высокий процент преподавателей, в программы треннинга которых был включен их профильный предмет (79%), если сравнивать с учителями младших классов средней школы (77%) и старших классов средней школы (64%), как это показано на рисунке 6.4</w:t>
      </w:r>
      <w:r w:rsidR="007B390A" w:rsidRPr="007B390A">
        <w:rPr>
          <w:rFonts w:asciiTheme="majorBidi" w:hAnsiTheme="majorBidi" w:cstheme="majorBidi"/>
          <w:sz w:val="24"/>
          <w:szCs w:val="24"/>
        </w:rPr>
        <w:t xml:space="preserve"> </w:t>
      </w:r>
    </w:p>
    <w:p w:rsidR="00022B84" w:rsidRDefault="00022B84" w:rsidP="00022B8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B390A" w:rsidRPr="007B390A" w:rsidRDefault="007B390A" w:rsidP="00022B8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B390A">
        <w:rPr>
          <w:rFonts w:asciiTheme="majorBidi" w:hAnsiTheme="majorBidi" w:cstheme="majorBidi"/>
          <w:sz w:val="24"/>
          <w:szCs w:val="24"/>
        </w:rPr>
        <w:t xml:space="preserve">• </w:t>
      </w:r>
      <w:r w:rsidR="00022B84">
        <w:rPr>
          <w:rFonts w:asciiTheme="majorBidi" w:hAnsiTheme="majorBidi" w:cstheme="majorBidi"/>
          <w:sz w:val="24"/>
          <w:szCs w:val="24"/>
        </w:rPr>
        <w:t>Рисунок</w:t>
      </w:r>
      <w:r w:rsidRPr="007B390A">
        <w:rPr>
          <w:rFonts w:asciiTheme="majorBidi" w:hAnsiTheme="majorBidi" w:cstheme="majorBidi"/>
          <w:sz w:val="24"/>
          <w:szCs w:val="24"/>
        </w:rPr>
        <w:t xml:space="preserve"> 6.3 •</w:t>
      </w:r>
    </w:p>
    <w:p w:rsidR="007B390A" w:rsidRPr="007B390A" w:rsidRDefault="00022B84" w:rsidP="00022B8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Поучение повышения квалификации и содержание курса повышения квалификации</w:t>
      </w:r>
      <w:r w:rsidR="007B390A" w:rsidRPr="007B390A">
        <w:rPr>
          <w:rFonts w:asciiTheme="majorBidi" w:hAnsiTheme="majorBidi" w:cstheme="majorBidi"/>
          <w:sz w:val="24"/>
          <w:szCs w:val="24"/>
        </w:rPr>
        <w:t>,</w:t>
      </w:r>
    </w:p>
    <w:p w:rsidR="007B390A" w:rsidRPr="007B390A" w:rsidRDefault="00022B84" w:rsidP="007B390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с</w:t>
      </w:r>
      <w:r w:rsidR="00D657E5">
        <w:rPr>
          <w:rFonts w:asciiTheme="majorBidi" w:hAnsiTheme="majorBidi" w:cstheme="majorBidi"/>
          <w:sz w:val="24"/>
          <w:szCs w:val="24"/>
        </w:rPr>
        <w:t>огласно уровням МСКО</w:t>
      </w:r>
    </w:p>
    <w:p w:rsidR="007B390A" w:rsidRDefault="00022B84" w:rsidP="007B390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Процент учителей, прошедших треннинг или курс повышения квалификации, для которых данные элементы были включены в формальное образование.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0D7A30" w:rsidTr="000D7A30">
        <w:tc>
          <w:tcPr>
            <w:tcW w:w="2718" w:type="dxa"/>
          </w:tcPr>
          <w:p w:rsidR="000D7A30" w:rsidRDefault="000D7A30" w:rsidP="007B390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Показатель 1</w:t>
            </w:r>
          </w:p>
        </w:tc>
        <w:tc>
          <w:tcPr>
            <w:tcW w:w="6858" w:type="dxa"/>
          </w:tcPr>
          <w:p w:rsidR="000D7A30" w:rsidRDefault="000D7A30" w:rsidP="007B390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Курсы повышеия квалификации или профессиональный треннинг учителей начальной школы</w:t>
            </w:r>
          </w:p>
        </w:tc>
      </w:tr>
      <w:tr w:rsidR="000D7A30" w:rsidTr="000D7A30">
        <w:tc>
          <w:tcPr>
            <w:tcW w:w="2718" w:type="dxa"/>
          </w:tcPr>
          <w:p w:rsidR="000D7A30" w:rsidRDefault="000D7A30" w:rsidP="007B390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Показатель 2</w:t>
            </w:r>
          </w:p>
        </w:tc>
        <w:tc>
          <w:tcPr>
            <w:tcW w:w="6858" w:type="dxa"/>
          </w:tcPr>
          <w:p w:rsidR="000D7A30" w:rsidRDefault="000D7A30" w:rsidP="000D7A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D7A30">
              <w:rPr>
                <w:rFonts w:asciiTheme="majorBidi" w:hAnsiTheme="majorBidi" w:cstheme="majorBidi"/>
                <w:sz w:val="24"/>
                <w:szCs w:val="24"/>
              </w:rPr>
              <w:t xml:space="preserve">Курсы повышеия квалификации или профессиональный треннинг учителей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младших классов средней школы</w:t>
            </w:r>
          </w:p>
        </w:tc>
      </w:tr>
      <w:tr w:rsidR="000D7A30" w:rsidTr="000D7A30">
        <w:tc>
          <w:tcPr>
            <w:tcW w:w="2718" w:type="dxa"/>
          </w:tcPr>
          <w:p w:rsidR="000D7A30" w:rsidRDefault="000D7A30" w:rsidP="007B390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Показатель 3</w:t>
            </w:r>
          </w:p>
        </w:tc>
        <w:tc>
          <w:tcPr>
            <w:tcW w:w="6858" w:type="dxa"/>
          </w:tcPr>
          <w:p w:rsidR="000D7A30" w:rsidRDefault="000D7A30" w:rsidP="000D7A3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0D7A30">
              <w:rPr>
                <w:rFonts w:asciiTheme="majorBidi" w:hAnsiTheme="majorBidi" w:cstheme="majorBidi"/>
                <w:sz w:val="24"/>
                <w:szCs w:val="24"/>
              </w:rPr>
              <w:t xml:space="preserve">Курсы повышеия квалификации или профессиональный треннинг учителей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старших классов</w:t>
            </w:r>
          </w:p>
        </w:tc>
      </w:tr>
    </w:tbl>
    <w:p w:rsidR="000D7A30" w:rsidRPr="007B390A" w:rsidRDefault="000D7A30" w:rsidP="007B390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B390A" w:rsidRDefault="007B390A" w:rsidP="007B390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>
            <wp:extent cx="5486400" cy="320040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400A8" w:rsidRPr="001400A8" w:rsidRDefault="001400A8" w:rsidP="001400A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400A8">
        <w:rPr>
          <w:rFonts w:asciiTheme="majorBidi" w:hAnsiTheme="majorBidi" w:cstheme="majorBidi"/>
          <w:sz w:val="24"/>
          <w:szCs w:val="24"/>
        </w:rPr>
        <w:t xml:space="preserve">Страны расположены в убывающем </w:t>
      </w:r>
      <w:r w:rsidR="00D657E5">
        <w:rPr>
          <w:rFonts w:asciiTheme="majorBidi" w:hAnsiTheme="majorBidi" w:cstheme="majorBidi"/>
          <w:sz w:val="24"/>
          <w:szCs w:val="24"/>
        </w:rPr>
        <w:t xml:space="preserve">порядке, </w:t>
      </w:r>
      <w:r w:rsidRPr="001400A8">
        <w:rPr>
          <w:rFonts w:asciiTheme="majorBidi" w:hAnsiTheme="majorBidi" w:cstheme="majorBidi"/>
          <w:sz w:val="24"/>
          <w:szCs w:val="24"/>
        </w:rPr>
        <w:t>согласно данным по младшему среднему образованию.</w:t>
      </w:r>
    </w:p>
    <w:p w:rsidR="001400A8" w:rsidRPr="001400A8" w:rsidRDefault="001400A8" w:rsidP="001400A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400A8">
        <w:rPr>
          <w:rFonts w:asciiTheme="majorBidi" w:hAnsiTheme="majorBidi" w:cstheme="majorBidi"/>
          <w:sz w:val="24"/>
          <w:szCs w:val="24"/>
        </w:rPr>
        <w:t>Источник: OЭСР, Международный Соцопрос о Преподавании и Обучении, 2013, База данных.</w:t>
      </w:r>
    </w:p>
    <w:p w:rsidR="007B390A" w:rsidRDefault="001400A8" w:rsidP="001400A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400A8">
        <w:rPr>
          <w:rFonts w:asciiTheme="majorBidi" w:hAnsiTheme="majorBidi" w:cstheme="majorBidi"/>
          <w:sz w:val="24"/>
          <w:szCs w:val="24"/>
        </w:rPr>
        <w:t>Ссылка:</w:t>
      </w:r>
      <w:r w:rsidR="007B390A" w:rsidRPr="007B390A">
        <w:rPr>
          <w:rFonts w:asciiTheme="majorBidi" w:hAnsiTheme="majorBidi" w:cstheme="majorBidi"/>
          <w:sz w:val="24"/>
          <w:szCs w:val="24"/>
        </w:rPr>
        <w:t xml:space="preserve">: </w:t>
      </w:r>
      <w:hyperlink r:id="rId12" w:history="1">
        <w:r w:rsidR="007B390A" w:rsidRPr="0092068A">
          <w:rPr>
            <w:rStyle w:val="Hyperlink"/>
            <w:rFonts w:asciiTheme="majorBidi" w:hAnsiTheme="majorBidi" w:cstheme="majorBidi"/>
            <w:sz w:val="24"/>
            <w:szCs w:val="24"/>
          </w:rPr>
          <w:t>http://dx.doi.org/10.1787/888933166115</w:t>
        </w:r>
      </w:hyperlink>
    </w:p>
    <w:p w:rsidR="00022B84" w:rsidRDefault="00022B84" w:rsidP="001400A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63958" w:rsidRDefault="00C1599F" w:rsidP="00392B5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Международный соцопрос о Преподавании и Обучении</w:t>
      </w:r>
      <w:r w:rsidR="003715F2" w:rsidRPr="003715F2">
        <w:rPr>
          <w:rFonts w:asciiTheme="majorBidi" w:hAnsiTheme="majorBidi" w:cstheme="majorBidi"/>
          <w:sz w:val="24"/>
          <w:szCs w:val="24"/>
        </w:rPr>
        <w:t xml:space="preserve"> </w:t>
      </w:r>
      <w:r w:rsidR="00022B84">
        <w:rPr>
          <w:rFonts w:asciiTheme="majorBidi" w:hAnsiTheme="majorBidi" w:cstheme="majorBidi"/>
          <w:sz w:val="24"/>
          <w:szCs w:val="24"/>
        </w:rPr>
        <w:t xml:space="preserve">также собрал данные, касательно того, </w:t>
      </w:r>
      <w:r w:rsidR="003715F2" w:rsidRPr="003715F2">
        <w:rPr>
          <w:rFonts w:asciiTheme="majorBidi" w:hAnsiTheme="majorBidi" w:cstheme="majorBidi"/>
          <w:sz w:val="24"/>
          <w:szCs w:val="24"/>
        </w:rPr>
        <w:t xml:space="preserve"> </w:t>
      </w:r>
      <w:r w:rsidR="00022B84">
        <w:rPr>
          <w:rFonts w:asciiTheme="majorBidi" w:hAnsiTheme="majorBidi" w:cstheme="majorBidi"/>
          <w:sz w:val="24"/>
          <w:szCs w:val="24"/>
        </w:rPr>
        <w:t xml:space="preserve">прошли ли учителя педагогический курс для всех предметов, с которыми они на данный момент работают. </w:t>
      </w:r>
      <w:r w:rsidR="003715F2" w:rsidRPr="003715F2">
        <w:rPr>
          <w:rFonts w:asciiTheme="majorBidi" w:hAnsiTheme="majorBidi" w:cstheme="majorBidi"/>
          <w:sz w:val="24"/>
          <w:szCs w:val="24"/>
        </w:rPr>
        <w:t xml:space="preserve"> </w:t>
      </w:r>
      <w:r w:rsidR="00022B84">
        <w:rPr>
          <w:rFonts w:asciiTheme="majorBidi" w:hAnsiTheme="majorBidi" w:cstheme="majorBidi"/>
          <w:sz w:val="24"/>
          <w:szCs w:val="24"/>
        </w:rPr>
        <w:t>В среднем, по пяти странам</w:t>
      </w:r>
      <w:r w:rsidR="003715F2" w:rsidRPr="003715F2">
        <w:rPr>
          <w:rFonts w:asciiTheme="majorBidi" w:hAnsiTheme="majorBidi" w:cstheme="majorBidi"/>
          <w:sz w:val="24"/>
          <w:szCs w:val="24"/>
        </w:rPr>
        <w:t xml:space="preserve"> </w:t>
      </w:r>
      <w:r w:rsidR="009176DE">
        <w:rPr>
          <w:rFonts w:asciiTheme="majorBidi" w:hAnsiTheme="majorBidi" w:cstheme="majorBidi"/>
          <w:sz w:val="24"/>
          <w:szCs w:val="24"/>
        </w:rPr>
        <w:t xml:space="preserve">предоставившим данные по всем показателям, </w:t>
      </w:r>
      <w:r w:rsidR="00863958">
        <w:rPr>
          <w:rFonts w:asciiTheme="majorBidi" w:hAnsiTheme="majorBidi" w:cstheme="majorBidi"/>
          <w:sz w:val="24"/>
          <w:szCs w:val="24"/>
        </w:rPr>
        <w:t>для</w:t>
      </w:r>
      <w:r w:rsidR="003715F2" w:rsidRPr="003715F2">
        <w:rPr>
          <w:rFonts w:asciiTheme="majorBidi" w:hAnsiTheme="majorBidi" w:cstheme="majorBidi"/>
          <w:sz w:val="24"/>
          <w:szCs w:val="24"/>
        </w:rPr>
        <w:t xml:space="preserve"> 67% </w:t>
      </w:r>
      <w:r w:rsidR="009176DE">
        <w:rPr>
          <w:rFonts w:asciiTheme="majorBidi" w:hAnsiTheme="majorBidi" w:cstheme="majorBidi"/>
          <w:sz w:val="24"/>
          <w:szCs w:val="24"/>
        </w:rPr>
        <w:t>учителей начальной школы</w:t>
      </w:r>
      <w:r w:rsidR="003715F2" w:rsidRPr="003715F2">
        <w:rPr>
          <w:rFonts w:asciiTheme="majorBidi" w:hAnsiTheme="majorBidi" w:cstheme="majorBidi"/>
          <w:sz w:val="24"/>
          <w:szCs w:val="24"/>
        </w:rPr>
        <w:t xml:space="preserve">, 69% </w:t>
      </w:r>
      <w:r w:rsidR="009176DE">
        <w:rPr>
          <w:rFonts w:asciiTheme="majorBidi" w:hAnsiTheme="majorBidi" w:cstheme="majorBidi"/>
          <w:sz w:val="24"/>
          <w:szCs w:val="24"/>
        </w:rPr>
        <w:t>учителей младших классов средней школы,</w:t>
      </w:r>
      <w:r w:rsidR="003715F2" w:rsidRPr="003715F2">
        <w:rPr>
          <w:rFonts w:asciiTheme="majorBidi" w:hAnsiTheme="majorBidi" w:cstheme="majorBidi"/>
          <w:sz w:val="24"/>
          <w:szCs w:val="24"/>
        </w:rPr>
        <w:t xml:space="preserve"> 66% </w:t>
      </w:r>
      <w:r w:rsidR="009176DE">
        <w:rPr>
          <w:rFonts w:asciiTheme="majorBidi" w:hAnsiTheme="majorBidi" w:cstheme="majorBidi"/>
          <w:sz w:val="24"/>
          <w:szCs w:val="24"/>
        </w:rPr>
        <w:t>учителей старших классов средней школы</w:t>
      </w:r>
      <w:r w:rsidR="00863958">
        <w:rPr>
          <w:rFonts w:asciiTheme="majorBidi" w:hAnsiTheme="majorBidi" w:cstheme="majorBidi"/>
          <w:sz w:val="24"/>
          <w:szCs w:val="24"/>
        </w:rPr>
        <w:t>, педагогика была включена в образовательную программу преподавателя</w:t>
      </w:r>
      <w:r w:rsidR="003715F2" w:rsidRPr="003715F2">
        <w:rPr>
          <w:rFonts w:asciiTheme="majorBidi" w:hAnsiTheme="majorBidi" w:cstheme="majorBidi"/>
          <w:sz w:val="24"/>
          <w:szCs w:val="24"/>
        </w:rPr>
        <w:t xml:space="preserve">. </w:t>
      </w:r>
      <w:r w:rsidR="00863958">
        <w:rPr>
          <w:rFonts w:asciiTheme="majorBidi" w:hAnsiTheme="majorBidi" w:cstheme="majorBidi"/>
          <w:sz w:val="24"/>
          <w:szCs w:val="24"/>
        </w:rPr>
        <w:t xml:space="preserve">Процентное количество учителей, прошедших педагогический курс обучения, в Дании возрастает относительно ступени </w:t>
      </w:r>
      <w:r w:rsidR="00863958">
        <w:rPr>
          <w:rFonts w:asciiTheme="majorBidi" w:hAnsiTheme="majorBidi" w:cstheme="majorBidi"/>
          <w:sz w:val="24"/>
          <w:szCs w:val="24"/>
        </w:rPr>
        <w:lastRenderedPageBreak/>
        <w:t xml:space="preserve">образования. Так, его прошли </w:t>
      </w:r>
      <w:r w:rsidR="003715F2" w:rsidRPr="003715F2">
        <w:rPr>
          <w:rFonts w:asciiTheme="majorBidi" w:hAnsiTheme="majorBidi" w:cstheme="majorBidi"/>
          <w:sz w:val="24"/>
          <w:szCs w:val="24"/>
        </w:rPr>
        <w:t xml:space="preserve">53% </w:t>
      </w:r>
      <w:r w:rsidR="00863958">
        <w:rPr>
          <w:rFonts w:asciiTheme="majorBidi" w:hAnsiTheme="majorBidi" w:cstheme="majorBidi"/>
          <w:sz w:val="24"/>
          <w:szCs w:val="24"/>
        </w:rPr>
        <w:t>учителей начальной школы</w:t>
      </w:r>
      <w:r w:rsidR="003715F2" w:rsidRPr="003715F2">
        <w:rPr>
          <w:rFonts w:asciiTheme="majorBidi" w:hAnsiTheme="majorBidi" w:cstheme="majorBidi"/>
          <w:sz w:val="24"/>
          <w:szCs w:val="24"/>
        </w:rPr>
        <w:t>,</w:t>
      </w:r>
      <w:r w:rsidR="009176DE">
        <w:rPr>
          <w:rFonts w:asciiTheme="majorBidi" w:hAnsiTheme="majorBidi" w:cstheme="majorBidi"/>
          <w:sz w:val="24"/>
          <w:szCs w:val="24"/>
        </w:rPr>
        <w:t xml:space="preserve"> </w:t>
      </w:r>
      <w:r w:rsidR="003715F2" w:rsidRPr="003715F2">
        <w:rPr>
          <w:rFonts w:asciiTheme="majorBidi" w:hAnsiTheme="majorBidi" w:cstheme="majorBidi"/>
          <w:sz w:val="24"/>
          <w:szCs w:val="24"/>
        </w:rPr>
        <w:t xml:space="preserve">60% </w:t>
      </w:r>
      <w:r w:rsidR="00863958">
        <w:rPr>
          <w:rFonts w:asciiTheme="majorBidi" w:hAnsiTheme="majorBidi" w:cstheme="majorBidi"/>
          <w:sz w:val="24"/>
          <w:szCs w:val="24"/>
        </w:rPr>
        <w:t>преподавателей младших классов средней школы, и</w:t>
      </w:r>
      <w:r w:rsidR="003715F2" w:rsidRPr="003715F2">
        <w:rPr>
          <w:rFonts w:asciiTheme="majorBidi" w:hAnsiTheme="majorBidi" w:cstheme="majorBidi"/>
          <w:sz w:val="24"/>
          <w:szCs w:val="24"/>
        </w:rPr>
        <w:t xml:space="preserve"> 67% </w:t>
      </w:r>
      <w:r w:rsidR="00863958">
        <w:rPr>
          <w:rFonts w:asciiTheme="majorBidi" w:hAnsiTheme="majorBidi" w:cstheme="majorBidi"/>
          <w:sz w:val="24"/>
          <w:szCs w:val="24"/>
        </w:rPr>
        <w:t xml:space="preserve">преподавателей старших классов средней школы. В Норвегии проценты тоже распределились подобным образом – 46%, 51% и 56% соответственно.  </w:t>
      </w:r>
    </w:p>
    <w:p w:rsidR="007B390A" w:rsidRDefault="00863958" w:rsidP="00392B5E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В Финляндии, однако, наблюдается противоположная тенденция. Количество преподавателей, заявляющих о том, что педагогический элемент был обязательным в их крусе образования равно</w:t>
      </w:r>
      <w:r w:rsidR="003715F2" w:rsidRPr="003715F2">
        <w:rPr>
          <w:rFonts w:asciiTheme="majorBidi" w:hAnsiTheme="majorBidi" w:cstheme="majorBidi"/>
          <w:sz w:val="24"/>
          <w:szCs w:val="24"/>
        </w:rPr>
        <w:t xml:space="preserve"> 79% </w:t>
      </w:r>
      <w:r>
        <w:rPr>
          <w:rFonts w:asciiTheme="majorBidi" w:hAnsiTheme="majorBidi" w:cstheme="majorBidi"/>
          <w:sz w:val="24"/>
          <w:szCs w:val="24"/>
        </w:rPr>
        <w:t>для</w:t>
      </w:r>
      <w:r w:rsidR="003715F2" w:rsidRPr="003715F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учителей начальной школы,</w:t>
      </w:r>
      <w:r w:rsidR="003715F2" w:rsidRPr="003715F2">
        <w:rPr>
          <w:rFonts w:asciiTheme="majorBidi" w:hAnsiTheme="majorBidi" w:cstheme="majorBidi"/>
          <w:sz w:val="24"/>
          <w:szCs w:val="24"/>
        </w:rPr>
        <w:t xml:space="preserve"> 75% </w:t>
      </w:r>
      <w:r>
        <w:rPr>
          <w:rFonts w:asciiTheme="majorBidi" w:hAnsiTheme="majorBidi" w:cstheme="majorBidi"/>
          <w:sz w:val="24"/>
          <w:szCs w:val="24"/>
        </w:rPr>
        <w:t xml:space="preserve">для учителей младших классов средней школы, </w:t>
      </w:r>
      <w:r w:rsidR="003715F2" w:rsidRPr="003715F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и</w:t>
      </w:r>
      <w:r w:rsidR="003715F2" w:rsidRPr="003715F2">
        <w:rPr>
          <w:rFonts w:asciiTheme="majorBidi" w:hAnsiTheme="majorBidi" w:cstheme="majorBidi"/>
          <w:sz w:val="24"/>
          <w:szCs w:val="24"/>
        </w:rPr>
        <w:t xml:space="preserve"> 62% </w:t>
      </w:r>
      <w:r>
        <w:rPr>
          <w:rFonts w:asciiTheme="majorBidi" w:hAnsiTheme="majorBidi" w:cstheme="majorBidi"/>
          <w:sz w:val="24"/>
          <w:szCs w:val="24"/>
        </w:rPr>
        <w:t>для преподавателей старших классов средней школы</w:t>
      </w:r>
      <w:r w:rsidR="003715F2" w:rsidRPr="003715F2">
        <w:rPr>
          <w:rFonts w:asciiTheme="majorBidi" w:hAnsiTheme="majorBidi" w:cstheme="majorBidi"/>
          <w:sz w:val="24"/>
          <w:szCs w:val="24"/>
        </w:rPr>
        <w:t xml:space="preserve">. </w:t>
      </w:r>
      <w:r w:rsidR="00392B5E">
        <w:rPr>
          <w:rFonts w:asciiTheme="majorBidi" w:hAnsiTheme="majorBidi" w:cstheme="majorBidi"/>
          <w:sz w:val="24"/>
          <w:szCs w:val="24"/>
        </w:rPr>
        <w:t>Учитывая, что во многих странах</w:t>
      </w:r>
      <w:r w:rsidR="003715F2" w:rsidRPr="003715F2">
        <w:rPr>
          <w:rFonts w:asciiTheme="majorBidi" w:hAnsiTheme="majorBidi" w:cstheme="majorBidi"/>
          <w:sz w:val="24"/>
          <w:szCs w:val="24"/>
        </w:rPr>
        <w:t xml:space="preserve"> (</w:t>
      </w:r>
      <w:r w:rsidR="00392B5E">
        <w:rPr>
          <w:rFonts w:asciiTheme="majorBidi" w:hAnsiTheme="majorBidi" w:cstheme="majorBidi"/>
          <w:sz w:val="24"/>
          <w:szCs w:val="24"/>
        </w:rPr>
        <w:t>например, в Финляндии</w:t>
      </w:r>
      <w:r w:rsidR="003715F2" w:rsidRPr="003715F2">
        <w:rPr>
          <w:rFonts w:asciiTheme="majorBidi" w:hAnsiTheme="majorBidi" w:cstheme="majorBidi"/>
          <w:sz w:val="24"/>
          <w:szCs w:val="24"/>
        </w:rPr>
        <w:t xml:space="preserve">) </w:t>
      </w:r>
      <w:r w:rsidR="00392B5E">
        <w:rPr>
          <w:rFonts w:asciiTheme="majorBidi" w:hAnsiTheme="majorBidi" w:cstheme="majorBidi"/>
          <w:sz w:val="24"/>
          <w:szCs w:val="24"/>
        </w:rPr>
        <w:t>для поступления на работу учителем требуется минимальное педагогическое образование</w:t>
      </w:r>
      <w:r w:rsidR="003715F2" w:rsidRPr="003715F2">
        <w:rPr>
          <w:rFonts w:asciiTheme="majorBidi" w:hAnsiTheme="majorBidi" w:cstheme="majorBidi"/>
          <w:sz w:val="24"/>
          <w:szCs w:val="24"/>
        </w:rPr>
        <w:t xml:space="preserve">, </w:t>
      </w:r>
      <w:r w:rsidR="00392B5E">
        <w:rPr>
          <w:rFonts w:asciiTheme="majorBidi" w:hAnsiTheme="majorBidi" w:cstheme="majorBidi"/>
          <w:sz w:val="24"/>
          <w:szCs w:val="24"/>
        </w:rPr>
        <w:t>эта разница может отражать тот факт, что не все преподаватели прошли педагогический треннинг по всем преподаваемым ими дисциплинам</w:t>
      </w:r>
      <w:r w:rsidR="003715F2" w:rsidRPr="003715F2">
        <w:rPr>
          <w:rFonts w:asciiTheme="majorBidi" w:hAnsiTheme="majorBidi" w:cstheme="majorBidi"/>
          <w:sz w:val="24"/>
          <w:szCs w:val="24"/>
        </w:rPr>
        <w:t>,</w:t>
      </w:r>
      <w:r w:rsidR="00392B5E">
        <w:rPr>
          <w:rFonts w:asciiTheme="majorBidi" w:hAnsiTheme="majorBidi" w:cstheme="majorBidi"/>
          <w:sz w:val="24"/>
          <w:szCs w:val="24"/>
        </w:rPr>
        <w:t xml:space="preserve"> а лишь по некоторым из них,</w:t>
      </w:r>
      <w:r w:rsidR="003715F2" w:rsidRPr="003715F2">
        <w:rPr>
          <w:rFonts w:asciiTheme="majorBidi" w:hAnsiTheme="majorBidi" w:cstheme="majorBidi"/>
          <w:sz w:val="24"/>
          <w:szCs w:val="24"/>
        </w:rPr>
        <w:t xml:space="preserve"> </w:t>
      </w:r>
      <w:r w:rsidR="00392B5E">
        <w:rPr>
          <w:rFonts w:asciiTheme="majorBidi" w:hAnsiTheme="majorBidi" w:cstheme="majorBidi"/>
          <w:sz w:val="24"/>
          <w:szCs w:val="24"/>
        </w:rPr>
        <w:t>сообщает</w:t>
      </w:r>
      <w:r w:rsidR="003715F2" w:rsidRPr="003715F2">
        <w:rPr>
          <w:rFonts w:asciiTheme="majorBidi" w:hAnsiTheme="majorBidi" w:cstheme="majorBidi"/>
          <w:sz w:val="24"/>
          <w:szCs w:val="24"/>
        </w:rPr>
        <w:t xml:space="preserve"> </w:t>
      </w:r>
      <w:r w:rsidR="00355FDE">
        <w:rPr>
          <w:rFonts w:asciiTheme="majorBidi" w:hAnsiTheme="majorBidi" w:cstheme="majorBidi"/>
          <w:sz w:val="24"/>
          <w:szCs w:val="24"/>
        </w:rPr>
        <w:t>Международный Соцопрос</w:t>
      </w:r>
      <w:r w:rsidR="003715F2" w:rsidRPr="003715F2">
        <w:rPr>
          <w:rFonts w:asciiTheme="majorBidi" w:hAnsiTheme="majorBidi" w:cstheme="majorBidi"/>
          <w:sz w:val="24"/>
          <w:szCs w:val="24"/>
        </w:rPr>
        <w:t xml:space="preserve"> . </w:t>
      </w:r>
      <w:r w:rsidR="00392B5E">
        <w:rPr>
          <w:rFonts w:asciiTheme="majorBidi" w:hAnsiTheme="majorBidi" w:cstheme="majorBidi"/>
          <w:sz w:val="24"/>
          <w:szCs w:val="24"/>
        </w:rPr>
        <w:t>Эта особенность может особенно широко повлиять на вторую ступень школьного образования, где учителя обычно преподают только профильный предмет, в отличие от</w:t>
      </w:r>
      <w:r w:rsidR="003715F2" w:rsidRPr="003715F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начальной школ</w:t>
      </w:r>
      <w:r w:rsidR="00392B5E">
        <w:rPr>
          <w:rFonts w:asciiTheme="majorBidi" w:hAnsiTheme="majorBidi" w:cstheme="majorBidi"/>
          <w:sz w:val="24"/>
          <w:szCs w:val="24"/>
        </w:rPr>
        <w:t>ы</w:t>
      </w:r>
      <w:r w:rsidR="003715F2" w:rsidRPr="003715F2">
        <w:rPr>
          <w:rFonts w:asciiTheme="majorBidi" w:hAnsiTheme="majorBidi" w:cstheme="majorBidi"/>
          <w:sz w:val="24"/>
          <w:szCs w:val="24"/>
        </w:rPr>
        <w:t xml:space="preserve">, </w:t>
      </w:r>
      <w:r w:rsidR="00392B5E">
        <w:rPr>
          <w:rFonts w:asciiTheme="majorBidi" w:hAnsiTheme="majorBidi" w:cstheme="majorBidi"/>
          <w:sz w:val="24"/>
          <w:szCs w:val="24"/>
        </w:rPr>
        <w:t>где от них требуется быть универсалами</w:t>
      </w:r>
      <w:r w:rsidR="003715F2" w:rsidRPr="003715F2">
        <w:rPr>
          <w:rFonts w:asciiTheme="majorBidi" w:hAnsiTheme="majorBidi" w:cstheme="majorBidi"/>
          <w:sz w:val="24"/>
          <w:szCs w:val="24"/>
        </w:rPr>
        <w:t>.</w:t>
      </w:r>
    </w:p>
    <w:p w:rsidR="009176DE" w:rsidRDefault="009176DE" w:rsidP="009176D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D5034" w:rsidRDefault="007D5034" w:rsidP="003715F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Страница 151</w:t>
      </w:r>
    </w:p>
    <w:p w:rsidR="00392B5E" w:rsidRDefault="00392B5E" w:rsidP="00E2735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D5034" w:rsidRPr="007D5034" w:rsidRDefault="00F02EE8" w:rsidP="0080204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В среднем, по странам, предоставившим для отчета данные по всем трем показателям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наблюдается незначительная разница в том, включен ли был практический аспект в 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формальное образование или в программы курсов повышения квалификации преподавателей</w:t>
      </w:r>
      <w:r w:rsidR="007D5034" w:rsidRPr="007D5034">
        <w:rPr>
          <w:rFonts w:asciiTheme="majorBidi" w:hAnsiTheme="majorBidi" w:cstheme="majorBidi"/>
          <w:sz w:val="24"/>
          <w:szCs w:val="24"/>
        </w:rPr>
        <w:t>,</w:t>
      </w:r>
      <w:r w:rsidR="00392B5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для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 </w:t>
      </w:r>
      <w:r w:rsidR="00863958" w:rsidRPr="00863958">
        <w:rPr>
          <w:rFonts w:asciiTheme="majorBidi" w:hAnsiTheme="majorBidi" w:cstheme="majorBidi"/>
          <w:sz w:val="24"/>
          <w:szCs w:val="24"/>
        </w:rPr>
        <w:t>учителей начальной школы</w:t>
      </w:r>
      <w:r>
        <w:rPr>
          <w:rFonts w:asciiTheme="majorBidi" w:hAnsiTheme="majorBidi" w:cstheme="majorBidi"/>
          <w:sz w:val="24"/>
          <w:szCs w:val="24"/>
        </w:rPr>
        <w:t xml:space="preserve"> данный показатель составил</w:t>
      </w:r>
      <w:r w:rsidR="00863958" w:rsidRPr="00863958">
        <w:rPr>
          <w:rFonts w:asciiTheme="majorBidi" w:hAnsiTheme="majorBidi" w:cstheme="majorBidi"/>
          <w:sz w:val="24"/>
          <w:szCs w:val="24"/>
        </w:rPr>
        <w:t xml:space="preserve"> 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62%, </w:t>
      </w:r>
      <w:r>
        <w:rPr>
          <w:rFonts w:asciiTheme="majorBidi" w:hAnsiTheme="majorBidi" w:cstheme="majorBidi"/>
          <w:sz w:val="24"/>
          <w:szCs w:val="24"/>
        </w:rPr>
        <w:t xml:space="preserve">для </w:t>
      </w:r>
      <w:r w:rsidR="00863958">
        <w:rPr>
          <w:rFonts w:asciiTheme="majorBidi" w:hAnsiTheme="majorBidi" w:cstheme="majorBidi"/>
          <w:sz w:val="24"/>
          <w:szCs w:val="24"/>
        </w:rPr>
        <w:t>учителей младшей средней школы</w:t>
      </w:r>
      <w:r>
        <w:rPr>
          <w:rFonts w:asciiTheme="majorBidi" w:hAnsiTheme="majorBidi" w:cstheme="majorBidi"/>
          <w:sz w:val="24"/>
          <w:szCs w:val="24"/>
        </w:rPr>
        <w:t xml:space="preserve"> – </w:t>
      </w:r>
      <w:r w:rsidR="007D5034" w:rsidRPr="007D5034">
        <w:rPr>
          <w:rFonts w:asciiTheme="majorBidi" w:hAnsiTheme="majorBidi" w:cstheme="majorBidi"/>
          <w:sz w:val="24"/>
          <w:szCs w:val="24"/>
        </w:rPr>
        <w:t>64%</w:t>
      </w:r>
      <w:r>
        <w:rPr>
          <w:rFonts w:asciiTheme="majorBidi" w:hAnsiTheme="majorBidi" w:cstheme="majorBidi"/>
          <w:sz w:val="24"/>
          <w:szCs w:val="24"/>
        </w:rPr>
        <w:t>, и для учителей старших классов – 63%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>Для стран, предоставивших только два показателя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разница также минимальна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: 65% </w:t>
      </w:r>
      <w:r w:rsidR="000F6400">
        <w:rPr>
          <w:rFonts w:asciiTheme="majorBidi" w:hAnsiTheme="majorBidi" w:cstheme="majorBidi"/>
          <w:sz w:val="24"/>
          <w:szCs w:val="24"/>
        </w:rPr>
        <w:t>учителей начальной школы,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 66% </w:t>
      </w:r>
      <w:r w:rsidR="000F6400">
        <w:rPr>
          <w:rFonts w:asciiTheme="majorBidi" w:hAnsiTheme="majorBidi" w:cstheme="majorBidi"/>
          <w:sz w:val="24"/>
          <w:szCs w:val="24"/>
        </w:rPr>
        <w:t>учителей средних классов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, </w:t>
      </w:r>
      <w:r w:rsidR="000F6400">
        <w:rPr>
          <w:rFonts w:asciiTheme="majorBidi" w:hAnsiTheme="majorBidi" w:cstheme="majorBidi"/>
          <w:sz w:val="24"/>
          <w:szCs w:val="24"/>
        </w:rPr>
        <w:t>и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 62% </w:t>
      </w:r>
      <w:r w:rsidR="000F6400">
        <w:rPr>
          <w:rFonts w:asciiTheme="majorBidi" w:hAnsiTheme="majorBidi" w:cstheme="majorBidi"/>
          <w:sz w:val="24"/>
          <w:szCs w:val="24"/>
        </w:rPr>
        <w:t>учителей старших классов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. </w:t>
      </w:r>
      <w:r w:rsidR="00E27355">
        <w:rPr>
          <w:rFonts w:asciiTheme="majorBidi" w:hAnsiTheme="majorBidi" w:cstheme="majorBidi"/>
          <w:sz w:val="24"/>
          <w:szCs w:val="24"/>
        </w:rPr>
        <w:t xml:space="preserve">Самая заметная разница в уровнях полученного образования встречается в 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 </w:t>
      </w:r>
      <w:r w:rsidR="00E27355">
        <w:rPr>
          <w:rFonts w:asciiTheme="majorBidi" w:hAnsiTheme="majorBidi" w:cstheme="majorBidi"/>
          <w:sz w:val="24"/>
          <w:szCs w:val="24"/>
        </w:rPr>
        <w:t>Дании</w:t>
      </w:r>
      <w:r w:rsidR="007D5034" w:rsidRPr="007D5034">
        <w:rPr>
          <w:rFonts w:asciiTheme="majorBidi" w:hAnsiTheme="majorBidi" w:cstheme="majorBidi"/>
          <w:sz w:val="24"/>
          <w:szCs w:val="24"/>
        </w:rPr>
        <w:t>,</w:t>
      </w:r>
      <w:r w:rsidR="002A4F3B">
        <w:rPr>
          <w:rFonts w:asciiTheme="majorBidi" w:hAnsiTheme="majorBidi" w:cstheme="majorBidi"/>
          <w:sz w:val="24"/>
          <w:szCs w:val="24"/>
        </w:rPr>
        <w:t xml:space="preserve"> </w:t>
      </w:r>
      <w:r w:rsidR="00E27355">
        <w:rPr>
          <w:rFonts w:asciiTheme="majorBidi" w:hAnsiTheme="majorBidi" w:cstheme="majorBidi"/>
          <w:sz w:val="24"/>
          <w:szCs w:val="24"/>
        </w:rPr>
        <w:t>где наблюдается рост процента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 </w:t>
      </w:r>
      <w:r w:rsidR="00E27355">
        <w:rPr>
          <w:rFonts w:asciiTheme="majorBidi" w:hAnsiTheme="majorBidi" w:cstheme="majorBidi"/>
          <w:sz w:val="24"/>
          <w:szCs w:val="24"/>
        </w:rPr>
        <w:t>преподавателей, получивших практический компонент образования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, </w:t>
      </w:r>
      <w:r w:rsidR="00E27355">
        <w:rPr>
          <w:rFonts w:asciiTheme="majorBidi" w:hAnsiTheme="majorBidi" w:cstheme="majorBidi"/>
          <w:sz w:val="24"/>
          <w:szCs w:val="24"/>
        </w:rPr>
        <w:t>с</w:t>
      </w:r>
      <w:r w:rsidR="002A4F3B">
        <w:rPr>
          <w:rFonts w:asciiTheme="majorBidi" w:hAnsiTheme="majorBidi" w:cstheme="majorBidi"/>
          <w:sz w:val="24"/>
          <w:szCs w:val="24"/>
        </w:rPr>
        <w:t xml:space="preserve"> 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44% </w:t>
      </w:r>
      <w:r w:rsidR="00E27355">
        <w:rPr>
          <w:rFonts w:asciiTheme="majorBidi" w:hAnsiTheme="majorBidi" w:cstheme="majorBidi"/>
          <w:sz w:val="24"/>
          <w:szCs w:val="24"/>
        </w:rPr>
        <w:t>для преподавателй младших классов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 </w:t>
      </w:r>
      <w:r w:rsidR="00E27355">
        <w:rPr>
          <w:rFonts w:asciiTheme="majorBidi" w:hAnsiTheme="majorBidi" w:cstheme="majorBidi"/>
          <w:sz w:val="24"/>
          <w:szCs w:val="24"/>
        </w:rPr>
        <w:t>до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 52% </w:t>
      </w:r>
      <w:r w:rsidR="00E27355">
        <w:rPr>
          <w:rFonts w:asciiTheme="majorBidi" w:hAnsiTheme="majorBidi" w:cstheme="majorBidi"/>
          <w:sz w:val="24"/>
          <w:szCs w:val="24"/>
        </w:rPr>
        <w:t>для учителей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 </w:t>
      </w:r>
      <w:r w:rsidR="00E27355">
        <w:rPr>
          <w:rFonts w:asciiTheme="majorBidi" w:hAnsiTheme="majorBidi" w:cstheme="majorBidi"/>
          <w:sz w:val="24"/>
          <w:szCs w:val="24"/>
        </w:rPr>
        <w:t xml:space="preserve">средних классов школы, и 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67% </w:t>
      </w:r>
      <w:r w:rsidR="00E27355">
        <w:rPr>
          <w:rFonts w:asciiTheme="majorBidi" w:hAnsiTheme="majorBidi" w:cstheme="majorBidi"/>
          <w:sz w:val="24"/>
          <w:szCs w:val="24"/>
        </w:rPr>
        <w:t>учителей старших классов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. </w:t>
      </w:r>
      <w:r w:rsidR="00E27355">
        <w:rPr>
          <w:rFonts w:asciiTheme="majorBidi" w:hAnsiTheme="majorBidi" w:cstheme="majorBidi"/>
          <w:sz w:val="24"/>
          <w:szCs w:val="24"/>
        </w:rPr>
        <w:t xml:space="preserve">В Мексике наблюдается противоположная тенденция, 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 </w:t>
      </w:r>
      <w:r w:rsidR="00E27355">
        <w:rPr>
          <w:rFonts w:asciiTheme="majorBidi" w:hAnsiTheme="majorBidi" w:cstheme="majorBidi"/>
          <w:sz w:val="24"/>
          <w:szCs w:val="24"/>
        </w:rPr>
        <w:t>там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 66% </w:t>
      </w:r>
      <w:r w:rsidR="00E27355">
        <w:rPr>
          <w:rFonts w:asciiTheme="majorBidi" w:hAnsiTheme="majorBidi" w:cstheme="majorBidi"/>
          <w:sz w:val="24"/>
          <w:szCs w:val="24"/>
        </w:rPr>
        <w:t>учителей начальной школы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, 58% </w:t>
      </w:r>
      <w:r w:rsidR="000F6400">
        <w:rPr>
          <w:rFonts w:asciiTheme="majorBidi" w:hAnsiTheme="majorBidi" w:cstheme="majorBidi"/>
          <w:sz w:val="24"/>
          <w:szCs w:val="24"/>
        </w:rPr>
        <w:t xml:space="preserve">учителей средних классов 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 </w:t>
      </w:r>
      <w:r w:rsidR="00E27355">
        <w:rPr>
          <w:rFonts w:asciiTheme="majorBidi" w:hAnsiTheme="majorBidi" w:cstheme="majorBidi"/>
          <w:sz w:val="24"/>
          <w:szCs w:val="24"/>
        </w:rPr>
        <w:t xml:space="preserve">и 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53% </w:t>
      </w:r>
      <w:r w:rsidR="00E27355">
        <w:rPr>
          <w:rFonts w:asciiTheme="majorBidi" w:hAnsiTheme="majorBidi" w:cstheme="majorBidi"/>
          <w:sz w:val="24"/>
          <w:szCs w:val="24"/>
        </w:rPr>
        <w:t xml:space="preserve">учителей старших классов 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 </w:t>
      </w:r>
      <w:r w:rsidR="00E27355">
        <w:rPr>
          <w:rFonts w:asciiTheme="majorBidi" w:hAnsiTheme="majorBidi" w:cstheme="majorBidi"/>
          <w:sz w:val="24"/>
          <w:szCs w:val="24"/>
        </w:rPr>
        <w:t xml:space="preserve">говорят о том, что практический компонент был включен в программу образования, 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 </w:t>
      </w:r>
      <w:r w:rsidR="00E27355">
        <w:rPr>
          <w:rFonts w:asciiTheme="majorBidi" w:hAnsiTheme="majorBidi" w:cstheme="majorBidi"/>
          <w:sz w:val="24"/>
          <w:szCs w:val="24"/>
        </w:rPr>
        <w:t>как это показано на рис.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 6.4.</w:t>
      </w:r>
    </w:p>
    <w:p w:rsidR="002A4F3B" w:rsidRDefault="002A4F3B" w:rsidP="0080204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D5034" w:rsidRPr="007D5034" w:rsidRDefault="00E27355" w:rsidP="0080204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ПОТРЕБНОСТЬ УЧИТЕЛЕЙ В ПРОФЕССИОНАЛЬНОМ РАЗВИТИИ</w:t>
      </w:r>
    </w:p>
    <w:p w:rsidR="007D5034" w:rsidRPr="007D5034" w:rsidRDefault="00355FDE" w:rsidP="00547C8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Международный Соцопрос о Преподавании и Обучении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 </w:t>
      </w:r>
      <w:r w:rsidR="00E27355">
        <w:rPr>
          <w:rFonts w:asciiTheme="majorBidi" w:hAnsiTheme="majorBidi" w:cstheme="majorBidi"/>
          <w:sz w:val="24"/>
          <w:szCs w:val="24"/>
        </w:rPr>
        <w:t xml:space="preserve">также собрал данные, касательно потребности учителей в профессиональном развитии. 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 </w:t>
      </w:r>
      <w:r w:rsidR="00E27355">
        <w:rPr>
          <w:rFonts w:asciiTheme="majorBidi" w:hAnsiTheme="majorBidi" w:cstheme="majorBidi"/>
          <w:sz w:val="24"/>
          <w:szCs w:val="24"/>
        </w:rPr>
        <w:t>Обучение студентов с особыми потребностям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, </w:t>
      </w:r>
      <w:r w:rsidR="00E27355">
        <w:rPr>
          <w:rFonts w:asciiTheme="majorBidi" w:hAnsiTheme="majorBidi" w:cstheme="majorBidi"/>
          <w:sz w:val="24"/>
          <w:szCs w:val="24"/>
        </w:rPr>
        <w:t xml:space="preserve">навыки преподавания в т.н. смешанных классах, 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 </w:t>
      </w:r>
      <w:r w:rsidR="00E27355">
        <w:rPr>
          <w:rFonts w:asciiTheme="majorBidi" w:hAnsiTheme="majorBidi" w:cstheme="majorBidi"/>
          <w:sz w:val="24"/>
          <w:szCs w:val="24"/>
        </w:rPr>
        <w:t>использование новейших технологий на рабочем месте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 </w:t>
      </w:r>
      <w:r w:rsidR="00E27355">
        <w:rPr>
          <w:rFonts w:asciiTheme="majorBidi" w:hAnsiTheme="majorBidi" w:cstheme="majorBidi"/>
          <w:sz w:val="24"/>
          <w:szCs w:val="24"/>
        </w:rPr>
        <w:t>являются тремя самыми востребованными направлениями професионального развития по словам большинства преподавателей, работающих на всех ступенях средней школы.</w:t>
      </w:r>
      <w:r w:rsidR="002A4F3B">
        <w:rPr>
          <w:rFonts w:asciiTheme="majorBidi" w:hAnsiTheme="majorBidi" w:cstheme="majorBidi"/>
          <w:sz w:val="24"/>
          <w:szCs w:val="24"/>
        </w:rPr>
        <w:t xml:space="preserve"> </w:t>
      </w:r>
      <w:r w:rsidR="00E27355">
        <w:rPr>
          <w:rFonts w:asciiTheme="majorBidi" w:hAnsiTheme="majorBidi" w:cstheme="majorBidi"/>
          <w:sz w:val="24"/>
          <w:szCs w:val="24"/>
        </w:rPr>
        <w:t xml:space="preserve">Данные отображены на рисунке 6.4. </w:t>
      </w:r>
      <w:r w:rsidR="007D5034" w:rsidRPr="007D5034">
        <w:rPr>
          <w:rFonts w:asciiTheme="majorBidi" w:hAnsiTheme="majorBidi" w:cstheme="majorBidi"/>
          <w:sz w:val="24"/>
          <w:szCs w:val="24"/>
        </w:rPr>
        <w:t>Figure 6.4.</w:t>
      </w:r>
      <w:r w:rsidR="002A4F3B">
        <w:rPr>
          <w:rFonts w:asciiTheme="majorBidi" w:hAnsiTheme="majorBidi" w:cstheme="majorBidi"/>
          <w:sz w:val="24"/>
          <w:szCs w:val="24"/>
        </w:rPr>
        <w:t xml:space="preserve"> </w:t>
      </w:r>
      <w:r w:rsidR="00E27355">
        <w:rPr>
          <w:rFonts w:asciiTheme="majorBidi" w:hAnsiTheme="majorBidi" w:cstheme="majorBidi"/>
          <w:sz w:val="24"/>
          <w:szCs w:val="24"/>
        </w:rPr>
        <w:t xml:space="preserve">Необходимость профессионального развития в области работы со студентами с сосбыми потребностями более часто возникает у учителей начальной школы 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(25%) </w:t>
      </w:r>
      <w:r w:rsidR="00E27355">
        <w:rPr>
          <w:rFonts w:asciiTheme="majorBidi" w:hAnsiTheme="majorBidi" w:cstheme="majorBidi"/>
          <w:sz w:val="24"/>
          <w:szCs w:val="24"/>
        </w:rPr>
        <w:t>и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 </w:t>
      </w:r>
      <w:r w:rsidR="000F6400">
        <w:rPr>
          <w:rFonts w:asciiTheme="majorBidi" w:hAnsiTheme="majorBidi" w:cstheme="majorBidi"/>
          <w:sz w:val="24"/>
          <w:szCs w:val="24"/>
        </w:rPr>
        <w:t>средних классов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 (23%)</w:t>
      </w:r>
      <w:r w:rsidR="00E27355">
        <w:rPr>
          <w:rFonts w:asciiTheme="majorBidi" w:hAnsiTheme="majorBidi" w:cstheme="majorBidi"/>
          <w:sz w:val="24"/>
          <w:szCs w:val="24"/>
        </w:rPr>
        <w:t>, по сравнению с учителями старших классов</w:t>
      </w:r>
      <w:r w:rsidR="002A4F3B">
        <w:rPr>
          <w:rFonts w:asciiTheme="majorBidi" w:hAnsiTheme="majorBidi" w:cstheme="majorBidi"/>
          <w:sz w:val="24"/>
          <w:szCs w:val="24"/>
        </w:rPr>
        <w:t xml:space="preserve"> 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(16%), </w:t>
      </w:r>
      <w:r w:rsidR="00E27355">
        <w:rPr>
          <w:rFonts w:asciiTheme="majorBidi" w:hAnsiTheme="majorBidi" w:cstheme="majorBidi"/>
          <w:sz w:val="24"/>
          <w:szCs w:val="24"/>
        </w:rPr>
        <w:t>согласно даным, полученным от стран, работавших с тремя показателями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. </w:t>
      </w:r>
      <w:r w:rsidR="0080204D">
        <w:rPr>
          <w:rFonts w:asciiTheme="majorBidi" w:hAnsiTheme="majorBidi" w:cstheme="majorBidi"/>
          <w:sz w:val="24"/>
          <w:szCs w:val="24"/>
        </w:rPr>
        <w:t>Также эта разница заметна для стран, предоставивших данные только по 2м показателям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: </w:t>
      </w:r>
      <w:r w:rsidR="0080204D">
        <w:rPr>
          <w:rFonts w:asciiTheme="majorBidi" w:hAnsiTheme="majorBidi" w:cstheme="majorBidi"/>
          <w:sz w:val="24"/>
          <w:szCs w:val="24"/>
        </w:rPr>
        <w:t xml:space="preserve">об этом говорит 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21% </w:t>
      </w:r>
      <w:r w:rsidR="0080204D">
        <w:rPr>
          <w:rFonts w:asciiTheme="majorBidi" w:hAnsiTheme="majorBidi" w:cstheme="majorBidi"/>
          <w:sz w:val="24"/>
          <w:szCs w:val="24"/>
        </w:rPr>
        <w:t>учителей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 </w:t>
      </w:r>
      <w:r w:rsidR="000F6400">
        <w:rPr>
          <w:rFonts w:asciiTheme="majorBidi" w:hAnsiTheme="majorBidi" w:cstheme="majorBidi"/>
          <w:sz w:val="24"/>
          <w:szCs w:val="24"/>
        </w:rPr>
        <w:t>средних классов</w:t>
      </w:r>
      <w:r w:rsidR="0080204D">
        <w:rPr>
          <w:rFonts w:asciiTheme="majorBidi" w:hAnsiTheme="majorBidi" w:cstheme="majorBidi"/>
          <w:sz w:val="24"/>
          <w:szCs w:val="24"/>
        </w:rPr>
        <w:t xml:space="preserve">, и только 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16% </w:t>
      </w:r>
      <w:r w:rsidR="00E27355" w:rsidRPr="00E27355">
        <w:rPr>
          <w:rFonts w:asciiTheme="majorBidi" w:hAnsiTheme="majorBidi" w:cstheme="majorBidi"/>
          <w:sz w:val="24"/>
          <w:szCs w:val="24"/>
        </w:rPr>
        <w:t xml:space="preserve">учителей старших классов </w:t>
      </w:r>
      <w:r w:rsidR="007D5034" w:rsidRPr="007D5034">
        <w:rPr>
          <w:rFonts w:asciiTheme="majorBidi" w:hAnsiTheme="majorBidi" w:cstheme="majorBidi"/>
          <w:sz w:val="24"/>
          <w:szCs w:val="24"/>
        </w:rPr>
        <w:t>(</w:t>
      </w:r>
      <w:r w:rsidR="0080204D">
        <w:rPr>
          <w:rFonts w:asciiTheme="majorBidi" w:hAnsiTheme="majorBidi" w:cstheme="majorBidi"/>
          <w:sz w:val="24"/>
          <w:szCs w:val="24"/>
        </w:rPr>
        <w:t>рисунок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 6.5). </w:t>
      </w:r>
      <w:r w:rsidR="0080204D">
        <w:rPr>
          <w:rFonts w:asciiTheme="majorBidi" w:hAnsiTheme="majorBidi" w:cstheme="majorBidi"/>
          <w:sz w:val="24"/>
          <w:szCs w:val="24"/>
        </w:rPr>
        <w:t>Данная тенденция прослеживается во всех странах, кроме Мексики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, </w:t>
      </w:r>
      <w:r w:rsidR="0080204D">
        <w:rPr>
          <w:rFonts w:asciiTheme="majorBidi" w:hAnsiTheme="majorBidi" w:cstheme="majorBidi"/>
          <w:sz w:val="24"/>
          <w:szCs w:val="24"/>
        </w:rPr>
        <w:t xml:space="preserve">где данное требование высказывает более высокий </w:t>
      </w:r>
      <w:r w:rsidR="0080204D">
        <w:rPr>
          <w:rFonts w:asciiTheme="majorBidi" w:hAnsiTheme="majorBidi" w:cstheme="majorBidi"/>
          <w:sz w:val="24"/>
          <w:szCs w:val="24"/>
        </w:rPr>
        <w:lastRenderedPageBreak/>
        <w:t>процент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 </w:t>
      </w:r>
      <w:r w:rsidR="0080204D">
        <w:rPr>
          <w:rFonts w:asciiTheme="majorBidi" w:hAnsiTheme="majorBidi" w:cstheme="majorBidi"/>
          <w:sz w:val="24"/>
          <w:szCs w:val="24"/>
        </w:rPr>
        <w:t xml:space="preserve">учителей </w:t>
      </w:r>
      <w:r w:rsidR="000F6400" w:rsidRPr="000F6400">
        <w:rPr>
          <w:rFonts w:asciiTheme="majorBidi" w:hAnsiTheme="majorBidi" w:cstheme="majorBidi"/>
          <w:sz w:val="24"/>
          <w:szCs w:val="24"/>
        </w:rPr>
        <w:t>средних классов</w:t>
      </w:r>
      <w:r w:rsidR="0080204D">
        <w:rPr>
          <w:rFonts w:asciiTheme="majorBidi" w:hAnsiTheme="majorBidi" w:cstheme="majorBidi"/>
          <w:sz w:val="24"/>
          <w:szCs w:val="24"/>
        </w:rPr>
        <w:t xml:space="preserve"> (47%), по сравнению с начальными классами 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(42%) </w:t>
      </w:r>
      <w:r w:rsidR="0080204D">
        <w:rPr>
          <w:rFonts w:asciiTheme="majorBidi" w:hAnsiTheme="majorBidi" w:cstheme="majorBidi"/>
          <w:sz w:val="24"/>
          <w:szCs w:val="24"/>
        </w:rPr>
        <w:t xml:space="preserve">или старшими классами 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(36%). </w:t>
      </w:r>
      <w:r w:rsidR="0080204D">
        <w:rPr>
          <w:rFonts w:asciiTheme="majorBidi" w:hAnsiTheme="majorBidi" w:cstheme="majorBidi"/>
          <w:sz w:val="24"/>
          <w:szCs w:val="24"/>
        </w:rPr>
        <w:t>Наибольшая разница наблюдается в Дании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, </w:t>
      </w:r>
      <w:r w:rsidR="0080204D">
        <w:rPr>
          <w:rFonts w:asciiTheme="majorBidi" w:hAnsiTheme="majorBidi" w:cstheme="majorBidi"/>
          <w:sz w:val="24"/>
          <w:szCs w:val="24"/>
        </w:rPr>
        <w:t xml:space="preserve">где </w:t>
      </w:r>
      <w:r w:rsidR="007D5034" w:rsidRPr="007D5034">
        <w:rPr>
          <w:rFonts w:asciiTheme="majorBidi" w:hAnsiTheme="majorBidi" w:cstheme="majorBidi"/>
          <w:sz w:val="24"/>
          <w:szCs w:val="24"/>
        </w:rPr>
        <w:t>34%</w:t>
      </w:r>
      <w:r w:rsidR="002A4F3B">
        <w:rPr>
          <w:rFonts w:asciiTheme="majorBidi" w:hAnsiTheme="majorBidi" w:cstheme="majorBidi"/>
          <w:sz w:val="24"/>
          <w:szCs w:val="24"/>
        </w:rPr>
        <w:t xml:space="preserve"> </w:t>
      </w:r>
      <w:r w:rsidR="0080204D">
        <w:rPr>
          <w:rFonts w:asciiTheme="majorBidi" w:hAnsiTheme="majorBidi" w:cstheme="majorBidi"/>
          <w:sz w:val="24"/>
          <w:szCs w:val="24"/>
        </w:rPr>
        <w:t xml:space="preserve">преподавателей начальной школы высказываются за 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 </w:t>
      </w:r>
      <w:r w:rsidR="0080204D">
        <w:rPr>
          <w:rFonts w:asciiTheme="majorBidi" w:hAnsiTheme="majorBidi" w:cstheme="majorBidi"/>
          <w:sz w:val="24"/>
          <w:szCs w:val="24"/>
        </w:rPr>
        <w:t>развитие в данной области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, </w:t>
      </w:r>
      <w:r w:rsidR="0080204D">
        <w:rPr>
          <w:rFonts w:asciiTheme="majorBidi" w:hAnsiTheme="majorBidi" w:cstheme="majorBidi"/>
          <w:sz w:val="24"/>
          <w:szCs w:val="24"/>
        </w:rPr>
        <w:t>в сравнении с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 28% </w:t>
      </w:r>
      <w:r w:rsidR="0080204D">
        <w:rPr>
          <w:rFonts w:asciiTheme="majorBidi" w:hAnsiTheme="majorBidi" w:cstheme="majorBidi"/>
          <w:sz w:val="24"/>
          <w:szCs w:val="24"/>
        </w:rPr>
        <w:t xml:space="preserve">учителей </w:t>
      </w:r>
      <w:r w:rsidR="000F6400" w:rsidRPr="000F6400">
        <w:rPr>
          <w:rFonts w:asciiTheme="majorBidi" w:hAnsiTheme="majorBidi" w:cstheme="majorBidi"/>
          <w:sz w:val="24"/>
          <w:szCs w:val="24"/>
        </w:rPr>
        <w:t xml:space="preserve">средних классов </w:t>
      </w:r>
      <w:r w:rsidR="0080204D">
        <w:rPr>
          <w:rFonts w:asciiTheme="majorBidi" w:hAnsiTheme="majorBidi" w:cstheme="majorBidi"/>
          <w:sz w:val="24"/>
          <w:szCs w:val="24"/>
        </w:rPr>
        <w:t xml:space="preserve">, и лишь 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10% </w:t>
      </w:r>
      <w:r w:rsidR="00E27355" w:rsidRPr="00E27355">
        <w:rPr>
          <w:rFonts w:asciiTheme="majorBidi" w:hAnsiTheme="majorBidi" w:cstheme="majorBidi"/>
          <w:sz w:val="24"/>
          <w:szCs w:val="24"/>
        </w:rPr>
        <w:t>учителей старших классов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. </w:t>
      </w:r>
      <w:r w:rsidR="0080204D">
        <w:rPr>
          <w:rFonts w:asciiTheme="majorBidi" w:hAnsiTheme="majorBidi" w:cstheme="majorBidi"/>
          <w:sz w:val="24"/>
          <w:szCs w:val="24"/>
        </w:rPr>
        <w:t xml:space="preserve">В Австралии и Абу Даби (ОАЭ), напротив, 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 </w:t>
      </w:r>
      <w:r w:rsidR="0080204D">
        <w:rPr>
          <w:rFonts w:asciiTheme="majorBidi" w:hAnsiTheme="majorBidi" w:cstheme="majorBidi"/>
          <w:sz w:val="24"/>
          <w:szCs w:val="24"/>
        </w:rPr>
        <w:t>разница в образовательных уровнях составляет менее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 2%, </w:t>
      </w:r>
      <w:r w:rsidR="0080204D">
        <w:rPr>
          <w:rFonts w:asciiTheme="majorBidi" w:hAnsiTheme="majorBidi" w:cstheme="majorBidi"/>
          <w:sz w:val="24"/>
          <w:szCs w:val="24"/>
        </w:rPr>
        <w:t>как это можно видеть на рисунке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 6.5.</w:t>
      </w:r>
    </w:p>
    <w:p w:rsidR="00620629" w:rsidRDefault="0080204D" w:rsidP="00547C8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Такая же тенденция наблюдается и в потребности профессионального развития в сфере навыков работы со смешанными классами, 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где процент преподавателей начальной школы, высказывающихся в пользу профессионального развития в этой области, более высок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 (21%) </w:t>
      </w:r>
      <w:r>
        <w:rPr>
          <w:rFonts w:asciiTheme="majorBidi" w:hAnsiTheme="majorBidi" w:cstheme="majorBidi"/>
          <w:sz w:val="24"/>
          <w:szCs w:val="24"/>
        </w:rPr>
        <w:t>в сравнении с преподавателями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 </w:t>
      </w:r>
      <w:r w:rsidR="000F6400" w:rsidRPr="000F6400">
        <w:rPr>
          <w:rFonts w:asciiTheme="majorBidi" w:hAnsiTheme="majorBidi" w:cstheme="majorBidi"/>
          <w:sz w:val="24"/>
          <w:szCs w:val="24"/>
        </w:rPr>
        <w:t xml:space="preserve">средних классов 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(17%) </w:t>
      </w:r>
      <w:r>
        <w:rPr>
          <w:rFonts w:asciiTheme="majorBidi" w:hAnsiTheme="majorBidi" w:cstheme="majorBidi"/>
          <w:sz w:val="24"/>
          <w:szCs w:val="24"/>
        </w:rPr>
        <w:t>или старших классов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 (13%). </w:t>
      </w:r>
    </w:p>
    <w:p w:rsidR="007D5034" w:rsidRPr="007D5034" w:rsidRDefault="00620629" w:rsidP="00547C8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Среди стран с двумя показателями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потребность в навыках работы со смешанными классами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наблюдается в среднем гораздо реже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на верхних ступенях образовательного процесса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 (20% </w:t>
      </w:r>
      <w:r>
        <w:rPr>
          <w:rFonts w:asciiTheme="majorBidi" w:hAnsiTheme="majorBidi" w:cstheme="majorBidi"/>
          <w:sz w:val="24"/>
          <w:szCs w:val="24"/>
        </w:rPr>
        <w:t>учителей начальной школы,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 16% </w:t>
      </w:r>
      <w:r>
        <w:rPr>
          <w:rFonts w:asciiTheme="majorBidi" w:hAnsiTheme="majorBidi" w:cstheme="majorBidi"/>
          <w:sz w:val="24"/>
          <w:szCs w:val="24"/>
        </w:rPr>
        <w:t>учителей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средних классов, и 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19% </w:t>
      </w:r>
      <w:r>
        <w:rPr>
          <w:rFonts w:asciiTheme="majorBidi" w:hAnsiTheme="majorBidi" w:cstheme="majorBidi"/>
          <w:sz w:val="24"/>
          <w:szCs w:val="24"/>
        </w:rPr>
        <w:t>преподавателей средних классов</w:t>
      </w:r>
      <w:r w:rsidR="000F6400" w:rsidRPr="000F640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против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 16% </w:t>
      </w:r>
      <w:r>
        <w:rPr>
          <w:rFonts w:asciiTheme="majorBidi" w:hAnsiTheme="majorBidi" w:cstheme="majorBidi"/>
          <w:sz w:val="24"/>
          <w:szCs w:val="24"/>
        </w:rPr>
        <w:t>учителей старших классов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). </w:t>
      </w:r>
      <w:r>
        <w:rPr>
          <w:rFonts w:asciiTheme="majorBidi" w:hAnsiTheme="majorBidi" w:cstheme="majorBidi"/>
          <w:sz w:val="24"/>
          <w:szCs w:val="24"/>
        </w:rPr>
        <w:t>Наибольшая разница наблюдается в Норвегии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где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 25% </w:t>
      </w:r>
      <w:r>
        <w:rPr>
          <w:rFonts w:asciiTheme="majorBidi" w:hAnsiTheme="majorBidi" w:cstheme="majorBidi"/>
          <w:sz w:val="24"/>
          <w:szCs w:val="24"/>
        </w:rPr>
        <w:t>учителей начальной школы, заявивших о такой потребности противопоставляется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 18% </w:t>
      </w:r>
      <w:r>
        <w:rPr>
          <w:rFonts w:asciiTheme="majorBidi" w:hAnsiTheme="majorBidi" w:cstheme="majorBidi"/>
          <w:sz w:val="24"/>
          <w:szCs w:val="24"/>
        </w:rPr>
        <w:t>учителей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 </w:t>
      </w:r>
      <w:r w:rsidR="000F6400" w:rsidRPr="000F6400">
        <w:rPr>
          <w:rFonts w:asciiTheme="majorBidi" w:hAnsiTheme="majorBidi" w:cstheme="majorBidi"/>
          <w:sz w:val="24"/>
          <w:szCs w:val="24"/>
        </w:rPr>
        <w:t xml:space="preserve">средних классов </w:t>
      </w:r>
      <w:r>
        <w:rPr>
          <w:rFonts w:asciiTheme="majorBidi" w:hAnsiTheme="majorBidi" w:cstheme="majorBidi"/>
          <w:sz w:val="24"/>
          <w:szCs w:val="24"/>
        </w:rPr>
        <w:t>и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 12% </w:t>
      </w:r>
      <w:r w:rsidR="00E27355" w:rsidRPr="00E27355">
        <w:rPr>
          <w:rFonts w:asciiTheme="majorBidi" w:hAnsiTheme="majorBidi" w:cstheme="majorBidi"/>
          <w:sz w:val="24"/>
          <w:szCs w:val="24"/>
        </w:rPr>
        <w:t>учителей старших классов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>Также, как показывает рисунок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 6.5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практически нет потребности в навыке работы со смешанными классами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 (2% </w:t>
      </w:r>
      <w:r>
        <w:rPr>
          <w:rFonts w:asciiTheme="majorBidi" w:hAnsiTheme="majorBidi" w:cstheme="majorBidi"/>
          <w:sz w:val="24"/>
          <w:szCs w:val="24"/>
        </w:rPr>
        <w:t>и менее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) </w:t>
      </w:r>
      <w:r>
        <w:rPr>
          <w:rFonts w:asciiTheme="majorBidi" w:hAnsiTheme="majorBidi" w:cstheme="majorBidi"/>
          <w:sz w:val="24"/>
          <w:szCs w:val="24"/>
        </w:rPr>
        <w:t xml:space="preserve">на разных ступенях школьного образования в Австралии, Италии, Польше, Сингапуре, Абу Даби (ОАЭ) и регионе Фландрия (Бельгия).  </w:t>
      </w:r>
    </w:p>
    <w:p w:rsidR="003715F2" w:rsidRDefault="0080204D" w:rsidP="00547C8F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Как показывает рисунок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 6.4, </w:t>
      </w:r>
      <w:r>
        <w:rPr>
          <w:rFonts w:asciiTheme="majorBidi" w:hAnsiTheme="majorBidi" w:cstheme="majorBidi"/>
          <w:sz w:val="24"/>
          <w:szCs w:val="24"/>
        </w:rPr>
        <w:t>в среднем в странах, предоставивших данные по всем трем показателям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о потребности профессионального развития в сфере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новых технологий на рабочем месте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также заявляют гораздо реже </w:t>
      </w:r>
      <w:r w:rsidR="00E27355" w:rsidRPr="00E27355">
        <w:rPr>
          <w:rFonts w:asciiTheme="majorBidi" w:hAnsiTheme="majorBidi" w:cstheme="majorBidi"/>
          <w:sz w:val="24"/>
          <w:szCs w:val="24"/>
        </w:rPr>
        <w:t>учител</w:t>
      </w:r>
      <w:r>
        <w:rPr>
          <w:rFonts w:asciiTheme="majorBidi" w:hAnsiTheme="majorBidi" w:cstheme="majorBidi"/>
          <w:sz w:val="24"/>
          <w:szCs w:val="24"/>
        </w:rPr>
        <w:t>я</w:t>
      </w:r>
      <w:r w:rsidR="00E27355" w:rsidRPr="00E27355">
        <w:rPr>
          <w:rFonts w:asciiTheme="majorBidi" w:hAnsiTheme="majorBidi" w:cstheme="majorBidi"/>
          <w:sz w:val="24"/>
          <w:szCs w:val="24"/>
        </w:rPr>
        <w:t xml:space="preserve"> старших классов </w:t>
      </w:r>
      <w:r w:rsidR="007D5034" w:rsidRPr="007D5034">
        <w:rPr>
          <w:rFonts w:asciiTheme="majorBidi" w:hAnsiTheme="majorBidi" w:cstheme="majorBidi"/>
          <w:sz w:val="24"/>
          <w:szCs w:val="24"/>
        </w:rPr>
        <w:t>(14%)</w:t>
      </w:r>
      <w:r>
        <w:rPr>
          <w:rFonts w:asciiTheme="majorBidi" w:hAnsiTheme="majorBidi" w:cstheme="majorBidi"/>
          <w:sz w:val="24"/>
          <w:szCs w:val="24"/>
        </w:rPr>
        <w:t xml:space="preserve">, если сравнить с 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учителями младших и </w:t>
      </w:r>
      <w:r w:rsidR="000F6400" w:rsidRPr="000F6400">
        <w:rPr>
          <w:rFonts w:asciiTheme="majorBidi" w:hAnsiTheme="majorBidi" w:cstheme="majorBidi"/>
          <w:sz w:val="24"/>
          <w:szCs w:val="24"/>
        </w:rPr>
        <w:t>средних классов</w:t>
      </w:r>
      <w:r w:rsidR="002A4F3B">
        <w:rPr>
          <w:rFonts w:asciiTheme="majorBidi" w:hAnsiTheme="majorBidi" w:cstheme="majorBidi"/>
          <w:sz w:val="24"/>
          <w:szCs w:val="24"/>
        </w:rPr>
        <w:t xml:space="preserve"> 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(16%). </w:t>
      </w:r>
      <w:r w:rsidR="00620629">
        <w:rPr>
          <w:rFonts w:asciiTheme="majorBidi" w:hAnsiTheme="majorBidi" w:cstheme="majorBidi"/>
          <w:sz w:val="24"/>
          <w:szCs w:val="24"/>
        </w:rPr>
        <w:t xml:space="preserve">Однако, в среднем разница невелика и в странах, предоставивших два показателя 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 (16% </w:t>
      </w:r>
      <w:r w:rsidR="00620629">
        <w:rPr>
          <w:rFonts w:asciiTheme="majorBidi" w:hAnsiTheme="majorBidi" w:cstheme="majorBidi"/>
          <w:sz w:val="24"/>
          <w:szCs w:val="24"/>
        </w:rPr>
        <w:t xml:space="preserve">учителей начальной школы, 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14% </w:t>
      </w:r>
      <w:r w:rsidR="00620629">
        <w:rPr>
          <w:rFonts w:asciiTheme="majorBidi" w:hAnsiTheme="majorBidi" w:cstheme="majorBidi"/>
          <w:sz w:val="24"/>
          <w:szCs w:val="24"/>
        </w:rPr>
        <w:t>учителей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 </w:t>
      </w:r>
      <w:r w:rsidR="00620629">
        <w:rPr>
          <w:rFonts w:asciiTheme="majorBidi" w:hAnsiTheme="majorBidi" w:cstheme="majorBidi"/>
          <w:sz w:val="24"/>
          <w:szCs w:val="24"/>
        </w:rPr>
        <w:t xml:space="preserve">средних классов, и 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17% </w:t>
      </w:r>
      <w:r w:rsidR="00620629">
        <w:rPr>
          <w:rFonts w:asciiTheme="majorBidi" w:hAnsiTheme="majorBidi" w:cstheme="majorBidi"/>
          <w:sz w:val="24"/>
          <w:szCs w:val="24"/>
        </w:rPr>
        <w:t xml:space="preserve">учителей </w:t>
      </w:r>
      <w:r w:rsidR="000F6400" w:rsidRPr="000F6400">
        <w:rPr>
          <w:rFonts w:asciiTheme="majorBidi" w:hAnsiTheme="majorBidi" w:cstheme="majorBidi"/>
          <w:sz w:val="24"/>
          <w:szCs w:val="24"/>
        </w:rPr>
        <w:t xml:space="preserve">средних классов </w:t>
      </w:r>
      <w:r w:rsidR="00620629">
        <w:rPr>
          <w:rFonts w:asciiTheme="majorBidi" w:hAnsiTheme="majorBidi" w:cstheme="majorBidi"/>
          <w:sz w:val="24"/>
          <w:szCs w:val="24"/>
        </w:rPr>
        <w:t>по сравнению с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 16% </w:t>
      </w:r>
      <w:r w:rsidR="00E27355" w:rsidRPr="00E27355">
        <w:rPr>
          <w:rFonts w:asciiTheme="majorBidi" w:hAnsiTheme="majorBidi" w:cstheme="majorBidi"/>
          <w:sz w:val="24"/>
          <w:szCs w:val="24"/>
        </w:rPr>
        <w:t>учителей старших классов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). </w:t>
      </w:r>
      <w:r w:rsidR="00620629">
        <w:rPr>
          <w:rFonts w:asciiTheme="majorBidi" w:hAnsiTheme="majorBidi" w:cstheme="majorBidi"/>
          <w:sz w:val="24"/>
          <w:szCs w:val="24"/>
        </w:rPr>
        <w:t>По всем странам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, </w:t>
      </w:r>
      <w:r w:rsidR="00620629">
        <w:rPr>
          <w:rFonts w:asciiTheme="majorBidi" w:hAnsiTheme="majorBidi" w:cstheme="majorBidi"/>
          <w:sz w:val="24"/>
          <w:szCs w:val="24"/>
        </w:rPr>
        <w:t xml:space="preserve">наибольншая разница в показателях данной потребности наблюдается в Мексике: 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 </w:t>
      </w:r>
      <w:r w:rsidR="00620629">
        <w:rPr>
          <w:rFonts w:asciiTheme="majorBidi" w:hAnsiTheme="majorBidi" w:cstheme="majorBidi"/>
          <w:sz w:val="24"/>
          <w:szCs w:val="24"/>
        </w:rPr>
        <w:t>учителя начальной школы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 (35%), </w:t>
      </w:r>
      <w:r w:rsidR="000F6400" w:rsidRPr="000F6400">
        <w:rPr>
          <w:rFonts w:asciiTheme="majorBidi" w:hAnsiTheme="majorBidi" w:cstheme="majorBidi"/>
          <w:sz w:val="24"/>
          <w:szCs w:val="24"/>
        </w:rPr>
        <w:t xml:space="preserve">средних классов </w:t>
      </w:r>
      <w:r w:rsidR="007D5034" w:rsidRPr="007D5034">
        <w:rPr>
          <w:rFonts w:asciiTheme="majorBidi" w:hAnsiTheme="majorBidi" w:cstheme="majorBidi"/>
          <w:sz w:val="24"/>
          <w:szCs w:val="24"/>
        </w:rPr>
        <w:t>(28%)</w:t>
      </w:r>
      <w:r w:rsidR="007D5034">
        <w:rPr>
          <w:rFonts w:asciiTheme="majorBidi" w:hAnsiTheme="majorBidi" w:cstheme="majorBidi"/>
          <w:sz w:val="24"/>
          <w:szCs w:val="24"/>
        </w:rPr>
        <w:t xml:space="preserve"> 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and </w:t>
      </w:r>
      <w:r w:rsidR="00E27355" w:rsidRPr="00E27355">
        <w:rPr>
          <w:rFonts w:asciiTheme="majorBidi" w:hAnsiTheme="majorBidi" w:cstheme="majorBidi"/>
          <w:sz w:val="24"/>
          <w:szCs w:val="24"/>
        </w:rPr>
        <w:t>учителей старших классов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 (22%).</w:t>
      </w:r>
    </w:p>
    <w:p w:rsidR="002A4F3B" w:rsidRDefault="002A4F3B" w:rsidP="007D503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D5034" w:rsidRDefault="007D5034" w:rsidP="007D503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Страница 152</w:t>
      </w:r>
    </w:p>
    <w:p w:rsidR="002A4F3B" w:rsidRPr="007D5034" w:rsidRDefault="002A4F3B" w:rsidP="0045380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Менее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 2% </w:t>
      </w:r>
      <w:r>
        <w:rPr>
          <w:rFonts w:asciiTheme="majorBidi" w:hAnsiTheme="majorBidi" w:cstheme="majorBidi"/>
          <w:sz w:val="24"/>
          <w:szCs w:val="24"/>
        </w:rPr>
        <w:t xml:space="preserve">разницы в уровнях образования было установлено в таких стрнанах, как 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Австралия, Финляндия, Польша, Сингапур и Абу Даби (ОАЭ).</w:t>
      </w:r>
    </w:p>
    <w:p w:rsidR="007D5034" w:rsidRPr="007D5034" w:rsidRDefault="002A4F3B" w:rsidP="0045380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E15657" w:rsidRPr="007D5034" w:rsidRDefault="009B3E4B" w:rsidP="0045380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Учитывая тот факт, что большинство преподавателей прошли курс или треннинг повышения квалификации по их проф.предмету, 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преподаватели, работающие на всех ступенях школьного образования не очень нуждаются в профессиональном развитии в данном направлении. 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По странам, предоставившим данные по всем трем показателям, тольк около 4% учителей младшей школы, и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 5% </w:t>
      </w:r>
      <w:r>
        <w:rPr>
          <w:rFonts w:asciiTheme="majorBidi" w:hAnsiTheme="majorBidi" w:cstheme="majorBidi"/>
          <w:sz w:val="24"/>
          <w:szCs w:val="24"/>
        </w:rPr>
        <w:t>учителей средней и старшей школы заявляют о потребности в профессиональном развитии в профильном предмете. Также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лишь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 5% </w:t>
      </w:r>
      <w:r>
        <w:rPr>
          <w:rFonts w:asciiTheme="majorBidi" w:hAnsiTheme="majorBidi" w:cstheme="majorBidi"/>
          <w:sz w:val="24"/>
          <w:szCs w:val="24"/>
        </w:rPr>
        <w:t>учителей младшей и младшей средней школы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и 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6% </w:t>
      </w:r>
      <w:r>
        <w:rPr>
          <w:rFonts w:asciiTheme="majorBidi" w:hAnsiTheme="majorBidi" w:cstheme="majorBidi"/>
          <w:sz w:val="24"/>
          <w:szCs w:val="24"/>
        </w:rPr>
        <w:t>учителей старшей школы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говорят о потребности получения профессионального развития педагогических навыков</w:t>
      </w:r>
      <w:r w:rsidR="007D5034" w:rsidRPr="007D5034">
        <w:rPr>
          <w:rFonts w:asciiTheme="majorBidi" w:hAnsiTheme="majorBidi" w:cstheme="majorBidi"/>
          <w:sz w:val="24"/>
          <w:szCs w:val="24"/>
        </w:rPr>
        <w:t>.</w:t>
      </w:r>
    </w:p>
    <w:p w:rsidR="007D5034" w:rsidRDefault="009B3E4B" w:rsidP="0045380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В целом, менее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 10% </w:t>
      </w:r>
      <w:r>
        <w:rPr>
          <w:rFonts w:asciiTheme="majorBidi" w:hAnsiTheme="majorBidi" w:cstheme="majorBidi"/>
          <w:sz w:val="24"/>
          <w:szCs w:val="24"/>
        </w:rPr>
        <w:t xml:space="preserve">преподавателей в странах, где проводился соцопрос в большинстве затронутых опросом областей, 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заявляют о необходимости профессионального развития 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sz w:val="24"/>
          <w:szCs w:val="24"/>
        </w:rPr>
        <w:t>рис.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 6.5).</w:t>
      </w:r>
    </w:p>
    <w:p w:rsidR="007D5034" w:rsidRDefault="007D5034" w:rsidP="007D503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D5034" w:rsidRPr="007D5034" w:rsidRDefault="007D5034" w:rsidP="00392B5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D5034">
        <w:rPr>
          <w:rFonts w:asciiTheme="majorBidi" w:hAnsiTheme="majorBidi" w:cstheme="majorBidi"/>
          <w:sz w:val="24"/>
          <w:szCs w:val="24"/>
        </w:rPr>
        <w:t xml:space="preserve">• </w:t>
      </w:r>
      <w:r w:rsidR="00392B5E">
        <w:rPr>
          <w:rFonts w:asciiTheme="majorBidi" w:hAnsiTheme="majorBidi" w:cstheme="majorBidi"/>
          <w:sz w:val="24"/>
          <w:szCs w:val="24"/>
        </w:rPr>
        <w:t>Рисунок</w:t>
      </w:r>
      <w:r w:rsidRPr="007D5034">
        <w:rPr>
          <w:rFonts w:asciiTheme="majorBidi" w:hAnsiTheme="majorBidi" w:cstheme="majorBidi"/>
          <w:sz w:val="24"/>
          <w:szCs w:val="24"/>
        </w:rPr>
        <w:t xml:space="preserve"> 6.4 •</w:t>
      </w:r>
    </w:p>
    <w:p w:rsidR="007D5034" w:rsidRPr="007D5034" w:rsidRDefault="00392B5E" w:rsidP="00D657E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Потребности преподавателей в профессиональном развитии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, </w:t>
      </w:r>
      <w:r w:rsidR="00D657E5">
        <w:rPr>
          <w:rFonts w:asciiTheme="majorBidi" w:hAnsiTheme="majorBidi" w:cstheme="majorBidi"/>
          <w:sz w:val="24"/>
          <w:szCs w:val="24"/>
        </w:rPr>
        <w:t>согласно уровням МСКО</w:t>
      </w:r>
    </w:p>
    <w:p w:rsidR="007D5034" w:rsidRDefault="00392B5E" w:rsidP="00392B5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Процентное соотношение преподавателей, имеющих высокий уровень потребности в 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профессиональном развитии в указанных регионах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в среднем для пяти стра, предоставивших все данные по всем образовательным уровням. </w:t>
      </w:r>
      <w:r w:rsidR="007D5034" w:rsidRPr="007D503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A973EB" w:rsidTr="00A973EB">
        <w:tc>
          <w:tcPr>
            <w:tcW w:w="2448" w:type="dxa"/>
          </w:tcPr>
          <w:p w:rsidR="00A973EB" w:rsidRDefault="00A973EB" w:rsidP="00392B5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Показатель 1</w:t>
            </w:r>
          </w:p>
        </w:tc>
        <w:tc>
          <w:tcPr>
            <w:tcW w:w="7128" w:type="dxa"/>
          </w:tcPr>
          <w:p w:rsidR="00A973EB" w:rsidRDefault="00A973EB" w:rsidP="00392B5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Начальная школа</w:t>
            </w:r>
          </w:p>
        </w:tc>
      </w:tr>
      <w:tr w:rsidR="00A973EB" w:rsidTr="00A973EB">
        <w:tc>
          <w:tcPr>
            <w:tcW w:w="2448" w:type="dxa"/>
          </w:tcPr>
          <w:p w:rsidR="00A973EB" w:rsidRDefault="00A973EB" w:rsidP="00392B5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Показатель 2</w:t>
            </w:r>
          </w:p>
        </w:tc>
        <w:tc>
          <w:tcPr>
            <w:tcW w:w="7128" w:type="dxa"/>
          </w:tcPr>
          <w:p w:rsidR="00A973EB" w:rsidRDefault="00A973EB" w:rsidP="00392B5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Младшие классы средней школы</w:t>
            </w:r>
          </w:p>
        </w:tc>
      </w:tr>
      <w:tr w:rsidR="00A973EB" w:rsidTr="00A973EB">
        <w:tc>
          <w:tcPr>
            <w:tcW w:w="2448" w:type="dxa"/>
          </w:tcPr>
          <w:p w:rsidR="00A973EB" w:rsidRDefault="00A973EB" w:rsidP="00392B5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Показатель 3</w:t>
            </w:r>
          </w:p>
        </w:tc>
        <w:tc>
          <w:tcPr>
            <w:tcW w:w="7128" w:type="dxa"/>
          </w:tcPr>
          <w:p w:rsidR="00A973EB" w:rsidRDefault="00A973EB" w:rsidP="00392B5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Старшие классы</w:t>
            </w:r>
          </w:p>
        </w:tc>
      </w:tr>
    </w:tbl>
    <w:p w:rsidR="00A973EB" w:rsidRDefault="00A973EB" w:rsidP="00392B5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D5034" w:rsidRDefault="007D5034" w:rsidP="007D503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inline distT="0" distB="0" distL="0" distR="0">
            <wp:extent cx="5486400" cy="3200400"/>
            <wp:effectExtent l="0" t="0" r="19050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66D74" w:rsidRPr="001400A8" w:rsidRDefault="001400A8" w:rsidP="00D657E5">
      <w:pPr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ОБРАТИТЕ ВНИМАНИЕ</w:t>
      </w:r>
      <w:r w:rsidR="00C66D74" w:rsidRPr="001400A8">
        <w:rPr>
          <w:rFonts w:asciiTheme="majorBidi" w:hAnsiTheme="majorBidi" w:cstheme="majorBidi"/>
          <w:sz w:val="20"/>
          <w:szCs w:val="20"/>
        </w:rPr>
        <w:t xml:space="preserve">: </w:t>
      </w:r>
      <w:r w:rsidR="00D657E5">
        <w:rPr>
          <w:rFonts w:asciiTheme="majorBidi" w:hAnsiTheme="majorBidi" w:cstheme="majorBidi"/>
          <w:sz w:val="20"/>
          <w:szCs w:val="20"/>
        </w:rPr>
        <w:t>Значение термина «студент с особыми потребностями»</w:t>
      </w:r>
      <w:r w:rsidR="00C66D74" w:rsidRPr="001400A8">
        <w:rPr>
          <w:rFonts w:asciiTheme="majorBidi" w:hAnsiTheme="majorBidi" w:cstheme="majorBidi"/>
          <w:sz w:val="20"/>
          <w:szCs w:val="20"/>
        </w:rPr>
        <w:t xml:space="preserve"> </w:t>
      </w:r>
      <w:r w:rsidR="00D657E5">
        <w:rPr>
          <w:rFonts w:asciiTheme="majorBidi" w:hAnsiTheme="majorBidi" w:cstheme="majorBidi"/>
          <w:sz w:val="20"/>
          <w:szCs w:val="20"/>
        </w:rPr>
        <w:t xml:space="preserve">варьируется в зависимости от страны, </w:t>
      </w:r>
      <w:r w:rsidR="00C66D74" w:rsidRPr="001400A8">
        <w:rPr>
          <w:rFonts w:asciiTheme="majorBidi" w:hAnsiTheme="majorBidi" w:cstheme="majorBidi"/>
          <w:sz w:val="20"/>
          <w:szCs w:val="20"/>
        </w:rPr>
        <w:t xml:space="preserve"> </w:t>
      </w:r>
      <w:r w:rsidR="00D657E5">
        <w:rPr>
          <w:rFonts w:asciiTheme="majorBidi" w:hAnsiTheme="majorBidi" w:cstheme="majorBidi"/>
          <w:sz w:val="20"/>
          <w:szCs w:val="20"/>
        </w:rPr>
        <w:t xml:space="preserve">однако обычно отностится к тем студентам, </w:t>
      </w:r>
      <w:r w:rsidR="00C66D74" w:rsidRPr="001400A8">
        <w:rPr>
          <w:rFonts w:asciiTheme="majorBidi" w:hAnsiTheme="majorBidi" w:cstheme="majorBidi"/>
          <w:sz w:val="20"/>
          <w:szCs w:val="20"/>
        </w:rPr>
        <w:t xml:space="preserve"> </w:t>
      </w:r>
      <w:r w:rsidR="00D657E5">
        <w:rPr>
          <w:rFonts w:asciiTheme="majorBidi" w:hAnsiTheme="majorBidi" w:cstheme="majorBidi"/>
          <w:sz w:val="20"/>
          <w:szCs w:val="20"/>
        </w:rPr>
        <w:t xml:space="preserve">особые потребности которых были формально задокументированы в связи с ментальной, физической или эмоциональной ограниченностью. </w:t>
      </w:r>
      <w:r w:rsidR="00C66D74" w:rsidRPr="001400A8">
        <w:rPr>
          <w:rFonts w:asciiTheme="majorBidi" w:hAnsiTheme="majorBidi" w:cstheme="majorBidi"/>
          <w:sz w:val="20"/>
          <w:szCs w:val="20"/>
        </w:rPr>
        <w:t xml:space="preserve"> </w:t>
      </w:r>
      <w:r w:rsidR="00D657E5">
        <w:rPr>
          <w:rFonts w:asciiTheme="majorBidi" w:hAnsiTheme="majorBidi" w:cstheme="majorBidi"/>
          <w:sz w:val="20"/>
          <w:szCs w:val="20"/>
        </w:rPr>
        <w:t xml:space="preserve"> </w:t>
      </w:r>
      <w:r w:rsidR="00C66D74" w:rsidRPr="001400A8">
        <w:rPr>
          <w:rFonts w:asciiTheme="majorBidi" w:hAnsiTheme="majorBidi" w:cstheme="majorBidi"/>
          <w:sz w:val="20"/>
          <w:szCs w:val="20"/>
        </w:rPr>
        <w:t xml:space="preserve"> </w:t>
      </w:r>
      <w:r w:rsidR="00D657E5">
        <w:rPr>
          <w:rFonts w:asciiTheme="majorBidi" w:hAnsiTheme="majorBidi" w:cstheme="majorBidi"/>
          <w:sz w:val="20"/>
          <w:szCs w:val="20"/>
        </w:rPr>
        <w:t>Зачастую, такими студентами являются учащиеся, которым для поддержания учебного процесса необходимо предоставлять дополнительные личные или общественные ресурсы (специально обученный персонал, специальные материалы или финансовая помощь. «Одаренные студенты» не относятся к данной категории по определению ни в данной работе, ни в</w:t>
      </w:r>
      <w:r w:rsidR="00C1599F" w:rsidRPr="001400A8">
        <w:rPr>
          <w:rFonts w:asciiTheme="majorBidi" w:hAnsiTheme="majorBidi" w:cstheme="majorBidi"/>
          <w:sz w:val="20"/>
          <w:szCs w:val="20"/>
        </w:rPr>
        <w:t xml:space="preserve"> других работах</w:t>
      </w:r>
      <w:r w:rsidR="00C66D74" w:rsidRPr="001400A8">
        <w:rPr>
          <w:rFonts w:asciiTheme="majorBidi" w:hAnsiTheme="majorBidi" w:cstheme="majorBidi"/>
          <w:sz w:val="20"/>
          <w:szCs w:val="20"/>
        </w:rPr>
        <w:t xml:space="preserve"> </w:t>
      </w:r>
      <w:r w:rsidR="00C1599F" w:rsidRPr="001400A8">
        <w:rPr>
          <w:rFonts w:asciiTheme="majorBidi" w:hAnsiTheme="majorBidi" w:cstheme="majorBidi"/>
          <w:sz w:val="20"/>
          <w:szCs w:val="20"/>
        </w:rPr>
        <w:t>OЭСР.</w:t>
      </w:r>
      <w:r w:rsidR="00C66D74" w:rsidRPr="001400A8">
        <w:rPr>
          <w:rFonts w:asciiTheme="majorBidi" w:hAnsiTheme="majorBidi" w:cstheme="majorBidi"/>
          <w:sz w:val="20"/>
          <w:szCs w:val="20"/>
        </w:rPr>
        <w:t xml:space="preserve"> </w:t>
      </w:r>
      <w:r w:rsidR="00D657E5">
        <w:rPr>
          <w:rFonts w:asciiTheme="majorBidi" w:hAnsiTheme="majorBidi" w:cstheme="majorBidi"/>
          <w:sz w:val="20"/>
          <w:szCs w:val="20"/>
        </w:rPr>
        <w:t>Многие учителя воспринимают каждого учащегося, как индивидуума, и, следовательно считают, что у каждого учащегося есть «особые требования».</w:t>
      </w:r>
      <w:r w:rsidR="00C66D74" w:rsidRPr="001400A8">
        <w:rPr>
          <w:rFonts w:asciiTheme="majorBidi" w:hAnsiTheme="majorBidi" w:cstheme="majorBidi"/>
          <w:sz w:val="20"/>
          <w:szCs w:val="20"/>
        </w:rPr>
        <w:t xml:space="preserve"> </w:t>
      </w:r>
      <w:r w:rsidR="00D657E5">
        <w:rPr>
          <w:rFonts w:asciiTheme="majorBidi" w:hAnsiTheme="majorBidi" w:cstheme="majorBidi"/>
          <w:sz w:val="20"/>
          <w:szCs w:val="20"/>
        </w:rPr>
        <w:t xml:space="preserve">В целях большей ясности информации, изложенной в данном исследовании, стоит четко понимать, кто характеризуется им, как студент с особыми нуждами, по этой причине авторы исследования делают особый акцент на определение термина, приведенное выше.  </w:t>
      </w:r>
    </w:p>
    <w:p w:rsidR="001400A8" w:rsidRPr="00C66D74" w:rsidRDefault="001400A8" w:rsidP="00C66D74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400A8" w:rsidRPr="001400A8" w:rsidRDefault="001400A8" w:rsidP="001400A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400A8">
        <w:rPr>
          <w:rFonts w:asciiTheme="majorBidi" w:hAnsiTheme="majorBidi" w:cstheme="majorBidi"/>
          <w:sz w:val="24"/>
          <w:szCs w:val="24"/>
        </w:rPr>
        <w:t xml:space="preserve">Страны расположены в убывающем </w:t>
      </w:r>
      <w:r w:rsidR="00D657E5">
        <w:rPr>
          <w:rFonts w:asciiTheme="majorBidi" w:hAnsiTheme="majorBidi" w:cstheme="majorBidi"/>
          <w:sz w:val="24"/>
          <w:szCs w:val="24"/>
        </w:rPr>
        <w:t xml:space="preserve">порядке </w:t>
      </w:r>
      <w:r w:rsidRPr="001400A8">
        <w:rPr>
          <w:rFonts w:asciiTheme="majorBidi" w:hAnsiTheme="majorBidi" w:cstheme="majorBidi"/>
          <w:sz w:val="24"/>
          <w:szCs w:val="24"/>
        </w:rPr>
        <w:t>согласно данным по младшему среднему образованию.</w:t>
      </w:r>
    </w:p>
    <w:p w:rsidR="001400A8" w:rsidRPr="001400A8" w:rsidRDefault="001400A8" w:rsidP="001400A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400A8">
        <w:rPr>
          <w:rFonts w:asciiTheme="majorBidi" w:hAnsiTheme="majorBidi" w:cstheme="majorBidi"/>
          <w:sz w:val="24"/>
          <w:szCs w:val="24"/>
        </w:rPr>
        <w:t>Источник: OЭСР, Международный Соцопрос о Преподавании и Обучении, 2013, База данных.</w:t>
      </w:r>
    </w:p>
    <w:p w:rsidR="00C66D74" w:rsidRDefault="001400A8" w:rsidP="001400A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400A8">
        <w:rPr>
          <w:rFonts w:asciiTheme="majorBidi" w:hAnsiTheme="majorBidi" w:cstheme="majorBidi"/>
          <w:sz w:val="24"/>
          <w:szCs w:val="24"/>
        </w:rPr>
        <w:t>Ссылка:</w:t>
      </w:r>
      <w:r w:rsidR="00C66D74" w:rsidRPr="007B390A">
        <w:rPr>
          <w:rFonts w:asciiTheme="majorBidi" w:hAnsiTheme="majorBidi" w:cstheme="majorBidi"/>
          <w:sz w:val="24"/>
          <w:szCs w:val="24"/>
        </w:rPr>
        <w:t xml:space="preserve">: </w:t>
      </w:r>
      <w:hyperlink r:id="rId14" w:history="1">
        <w:r w:rsidR="00C66D74" w:rsidRPr="0092068A">
          <w:rPr>
            <w:rStyle w:val="Hyperlink"/>
            <w:rFonts w:asciiTheme="majorBidi" w:hAnsiTheme="majorBidi" w:cstheme="majorBidi"/>
            <w:sz w:val="24"/>
            <w:szCs w:val="24"/>
          </w:rPr>
          <w:t>http://dx.doi.org/10.1787/888933166122</w:t>
        </w:r>
      </w:hyperlink>
    </w:p>
    <w:p w:rsidR="00C66D74" w:rsidRDefault="00C66D74" w:rsidP="00C66D7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66D74" w:rsidRDefault="00C66D74" w:rsidP="00C66D7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C394A" w:rsidRDefault="00BC394A" w:rsidP="00C66D7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C394A" w:rsidRDefault="00BC394A" w:rsidP="00C66D7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C394A" w:rsidRDefault="00BC394A" w:rsidP="00C66D7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C394A" w:rsidRDefault="00BC394A" w:rsidP="00C66D7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BC394A" w:rsidSect="00236F55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55 Roman">
    <w:altName w:val="Frutiger LT Std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ook">
    <w:altName w:val="Futura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E0F"/>
    <w:multiLevelType w:val="hybridMultilevel"/>
    <w:tmpl w:val="AEC68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2F421D"/>
    <w:multiLevelType w:val="hybridMultilevel"/>
    <w:tmpl w:val="A7562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41"/>
    <w:rsid w:val="00022B84"/>
    <w:rsid w:val="00064896"/>
    <w:rsid w:val="000B7DEC"/>
    <w:rsid w:val="000D7A30"/>
    <w:rsid w:val="000F6400"/>
    <w:rsid w:val="001400A8"/>
    <w:rsid w:val="0015029D"/>
    <w:rsid w:val="00177DA6"/>
    <w:rsid w:val="00190940"/>
    <w:rsid w:val="00236F55"/>
    <w:rsid w:val="002A4F3B"/>
    <w:rsid w:val="002D22F3"/>
    <w:rsid w:val="00302A02"/>
    <w:rsid w:val="00355FDE"/>
    <w:rsid w:val="003715F2"/>
    <w:rsid w:val="00392B5E"/>
    <w:rsid w:val="00453804"/>
    <w:rsid w:val="004545FF"/>
    <w:rsid w:val="00494E41"/>
    <w:rsid w:val="00547C8F"/>
    <w:rsid w:val="00573087"/>
    <w:rsid w:val="00581506"/>
    <w:rsid w:val="005A4CEC"/>
    <w:rsid w:val="005C2C0B"/>
    <w:rsid w:val="00620629"/>
    <w:rsid w:val="0065387B"/>
    <w:rsid w:val="00694602"/>
    <w:rsid w:val="006C28C1"/>
    <w:rsid w:val="0077654E"/>
    <w:rsid w:val="007A7DA5"/>
    <w:rsid w:val="007B390A"/>
    <w:rsid w:val="007D5034"/>
    <w:rsid w:val="0080204D"/>
    <w:rsid w:val="00804B69"/>
    <w:rsid w:val="00806429"/>
    <w:rsid w:val="00863958"/>
    <w:rsid w:val="00875716"/>
    <w:rsid w:val="008D4F25"/>
    <w:rsid w:val="009176DE"/>
    <w:rsid w:val="0094040A"/>
    <w:rsid w:val="009B3E4B"/>
    <w:rsid w:val="009F412F"/>
    <w:rsid w:val="00A32F67"/>
    <w:rsid w:val="00A5665C"/>
    <w:rsid w:val="00A973EB"/>
    <w:rsid w:val="00BC394A"/>
    <w:rsid w:val="00C10C93"/>
    <w:rsid w:val="00C139B4"/>
    <w:rsid w:val="00C1599F"/>
    <w:rsid w:val="00C66D74"/>
    <w:rsid w:val="00C95B8A"/>
    <w:rsid w:val="00C96822"/>
    <w:rsid w:val="00CB7A37"/>
    <w:rsid w:val="00CF14A7"/>
    <w:rsid w:val="00D20514"/>
    <w:rsid w:val="00D657E5"/>
    <w:rsid w:val="00D82739"/>
    <w:rsid w:val="00DB6E7F"/>
    <w:rsid w:val="00E15657"/>
    <w:rsid w:val="00E27355"/>
    <w:rsid w:val="00E826B0"/>
    <w:rsid w:val="00E959E1"/>
    <w:rsid w:val="00ED6BA3"/>
    <w:rsid w:val="00F02EE8"/>
    <w:rsid w:val="00FA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0">
    <w:name w:val="Pa30"/>
    <w:basedOn w:val="Normal"/>
    <w:next w:val="Normal"/>
    <w:uiPriority w:val="99"/>
    <w:rsid w:val="00CF14A7"/>
    <w:pPr>
      <w:autoSpaceDE w:val="0"/>
      <w:autoSpaceDN w:val="0"/>
      <w:adjustRightInd w:val="0"/>
      <w:spacing w:after="0" w:line="191" w:lineRule="atLeast"/>
    </w:pPr>
    <w:rPr>
      <w:rFonts w:ascii="Frutiger LT Std 55 Roman" w:hAnsi="Frutiger LT Std 55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F55"/>
    <w:rPr>
      <w:rFonts w:ascii="Tahoma" w:hAnsi="Tahoma" w:cs="Tahoma"/>
      <w:sz w:val="16"/>
      <w:szCs w:val="16"/>
      <w:lang w:val="ru-RU"/>
    </w:rPr>
  </w:style>
  <w:style w:type="character" w:styleId="Hyperlink">
    <w:name w:val="Hyperlink"/>
    <w:basedOn w:val="DefaultParagraphFont"/>
    <w:uiPriority w:val="99"/>
    <w:unhideWhenUsed/>
    <w:rsid w:val="00236F55"/>
    <w:rPr>
      <w:color w:val="0000FF" w:themeColor="hyperlink"/>
      <w:u w:val="single"/>
    </w:rPr>
  </w:style>
  <w:style w:type="paragraph" w:customStyle="1" w:styleId="Pa45">
    <w:name w:val="Pa45"/>
    <w:basedOn w:val="Normal"/>
    <w:next w:val="Normal"/>
    <w:uiPriority w:val="99"/>
    <w:rsid w:val="00236F55"/>
    <w:pPr>
      <w:autoSpaceDE w:val="0"/>
      <w:autoSpaceDN w:val="0"/>
      <w:adjustRightInd w:val="0"/>
      <w:spacing w:after="0" w:line="171" w:lineRule="atLeast"/>
    </w:pPr>
    <w:rPr>
      <w:rFonts w:ascii="Futura Book" w:hAnsi="Futura Book"/>
      <w:sz w:val="24"/>
      <w:szCs w:val="24"/>
      <w:lang w:val="en-US"/>
    </w:rPr>
  </w:style>
  <w:style w:type="paragraph" w:customStyle="1" w:styleId="Pa16">
    <w:name w:val="Pa16"/>
    <w:basedOn w:val="Normal"/>
    <w:next w:val="Normal"/>
    <w:uiPriority w:val="99"/>
    <w:rsid w:val="00236F55"/>
    <w:pPr>
      <w:autoSpaceDE w:val="0"/>
      <w:autoSpaceDN w:val="0"/>
      <w:adjustRightInd w:val="0"/>
      <w:spacing w:after="0" w:line="171" w:lineRule="atLeast"/>
    </w:pPr>
    <w:rPr>
      <w:rFonts w:ascii="Futura Book" w:hAnsi="Futura Book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66D74"/>
    <w:rPr>
      <w:color w:val="800080" w:themeColor="followedHyperlink"/>
      <w:u w:val="single"/>
    </w:rPr>
  </w:style>
  <w:style w:type="paragraph" w:customStyle="1" w:styleId="font0">
    <w:name w:val="font0"/>
    <w:basedOn w:val="Normal"/>
    <w:rsid w:val="00BC394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font5">
    <w:name w:val="font5"/>
    <w:basedOn w:val="Normal"/>
    <w:rsid w:val="00BC394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val="en-US"/>
    </w:rPr>
  </w:style>
  <w:style w:type="paragraph" w:customStyle="1" w:styleId="xl449">
    <w:name w:val="xl449"/>
    <w:basedOn w:val="Normal"/>
    <w:rsid w:val="00BC394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450">
    <w:name w:val="xl450"/>
    <w:basedOn w:val="Normal"/>
    <w:rsid w:val="00BC394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451">
    <w:name w:val="xl451"/>
    <w:basedOn w:val="Normal"/>
    <w:rsid w:val="00BC394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452">
    <w:name w:val="xl452"/>
    <w:basedOn w:val="Normal"/>
    <w:rsid w:val="00BC394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453">
    <w:name w:val="xl453"/>
    <w:basedOn w:val="Normal"/>
    <w:rsid w:val="00BC394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xl454">
    <w:name w:val="xl454"/>
    <w:basedOn w:val="Normal"/>
    <w:rsid w:val="00BC394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455">
    <w:name w:val="xl455"/>
    <w:basedOn w:val="Normal"/>
    <w:rsid w:val="00BC39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456">
    <w:name w:val="xl456"/>
    <w:basedOn w:val="Normal"/>
    <w:rsid w:val="00BC394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457">
    <w:name w:val="xl457"/>
    <w:basedOn w:val="Normal"/>
    <w:rsid w:val="00BC394A"/>
    <w:pPr>
      <w:pBdr>
        <w:top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458">
    <w:name w:val="xl458"/>
    <w:basedOn w:val="Normal"/>
    <w:rsid w:val="00BC394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459">
    <w:name w:val="xl459"/>
    <w:basedOn w:val="Normal"/>
    <w:rsid w:val="00BC394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460">
    <w:name w:val="xl460"/>
    <w:basedOn w:val="Normal"/>
    <w:rsid w:val="00BC394A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461">
    <w:name w:val="xl461"/>
    <w:basedOn w:val="Normal"/>
    <w:rsid w:val="00BC394A"/>
    <w:pPr>
      <w:pBdr>
        <w:left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462">
    <w:name w:val="xl462"/>
    <w:basedOn w:val="Normal"/>
    <w:rsid w:val="00BC394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463">
    <w:name w:val="xl463"/>
    <w:basedOn w:val="Normal"/>
    <w:rsid w:val="00BC394A"/>
    <w:pPr>
      <w:pBdr>
        <w:top w:val="single" w:sz="8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C3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26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0">
    <w:name w:val="Pa30"/>
    <w:basedOn w:val="Normal"/>
    <w:next w:val="Normal"/>
    <w:uiPriority w:val="99"/>
    <w:rsid w:val="00CF14A7"/>
    <w:pPr>
      <w:autoSpaceDE w:val="0"/>
      <w:autoSpaceDN w:val="0"/>
      <w:adjustRightInd w:val="0"/>
      <w:spacing w:after="0" w:line="191" w:lineRule="atLeast"/>
    </w:pPr>
    <w:rPr>
      <w:rFonts w:ascii="Frutiger LT Std 55 Roman" w:hAnsi="Frutiger LT Std 55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F55"/>
    <w:rPr>
      <w:rFonts w:ascii="Tahoma" w:hAnsi="Tahoma" w:cs="Tahoma"/>
      <w:sz w:val="16"/>
      <w:szCs w:val="16"/>
      <w:lang w:val="ru-RU"/>
    </w:rPr>
  </w:style>
  <w:style w:type="character" w:styleId="Hyperlink">
    <w:name w:val="Hyperlink"/>
    <w:basedOn w:val="DefaultParagraphFont"/>
    <w:uiPriority w:val="99"/>
    <w:unhideWhenUsed/>
    <w:rsid w:val="00236F55"/>
    <w:rPr>
      <w:color w:val="0000FF" w:themeColor="hyperlink"/>
      <w:u w:val="single"/>
    </w:rPr>
  </w:style>
  <w:style w:type="paragraph" w:customStyle="1" w:styleId="Pa45">
    <w:name w:val="Pa45"/>
    <w:basedOn w:val="Normal"/>
    <w:next w:val="Normal"/>
    <w:uiPriority w:val="99"/>
    <w:rsid w:val="00236F55"/>
    <w:pPr>
      <w:autoSpaceDE w:val="0"/>
      <w:autoSpaceDN w:val="0"/>
      <w:adjustRightInd w:val="0"/>
      <w:spacing w:after="0" w:line="171" w:lineRule="atLeast"/>
    </w:pPr>
    <w:rPr>
      <w:rFonts w:ascii="Futura Book" w:hAnsi="Futura Book"/>
      <w:sz w:val="24"/>
      <w:szCs w:val="24"/>
      <w:lang w:val="en-US"/>
    </w:rPr>
  </w:style>
  <w:style w:type="paragraph" w:customStyle="1" w:styleId="Pa16">
    <w:name w:val="Pa16"/>
    <w:basedOn w:val="Normal"/>
    <w:next w:val="Normal"/>
    <w:uiPriority w:val="99"/>
    <w:rsid w:val="00236F55"/>
    <w:pPr>
      <w:autoSpaceDE w:val="0"/>
      <w:autoSpaceDN w:val="0"/>
      <w:adjustRightInd w:val="0"/>
      <w:spacing w:after="0" w:line="171" w:lineRule="atLeast"/>
    </w:pPr>
    <w:rPr>
      <w:rFonts w:ascii="Futura Book" w:hAnsi="Futura Book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66D74"/>
    <w:rPr>
      <w:color w:val="800080" w:themeColor="followedHyperlink"/>
      <w:u w:val="single"/>
    </w:rPr>
  </w:style>
  <w:style w:type="paragraph" w:customStyle="1" w:styleId="font0">
    <w:name w:val="font0"/>
    <w:basedOn w:val="Normal"/>
    <w:rsid w:val="00BC394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font5">
    <w:name w:val="font5"/>
    <w:basedOn w:val="Normal"/>
    <w:rsid w:val="00BC394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val="en-US"/>
    </w:rPr>
  </w:style>
  <w:style w:type="paragraph" w:customStyle="1" w:styleId="xl449">
    <w:name w:val="xl449"/>
    <w:basedOn w:val="Normal"/>
    <w:rsid w:val="00BC394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450">
    <w:name w:val="xl450"/>
    <w:basedOn w:val="Normal"/>
    <w:rsid w:val="00BC394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451">
    <w:name w:val="xl451"/>
    <w:basedOn w:val="Normal"/>
    <w:rsid w:val="00BC394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452">
    <w:name w:val="xl452"/>
    <w:basedOn w:val="Normal"/>
    <w:rsid w:val="00BC394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453">
    <w:name w:val="xl453"/>
    <w:basedOn w:val="Normal"/>
    <w:rsid w:val="00BC394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xl454">
    <w:name w:val="xl454"/>
    <w:basedOn w:val="Normal"/>
    <w:rsid w:val="00BC394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455">
    <w:name w:val="xl455"/>
    <w:basedOn w:val="Normal"/>
    <w:rsid w:val="00BC39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456">
    <w:name w:val="xl456"/>
    <w:basedOn w:val="Normal"/>
    <w:rsid w:val="00BC394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457">
    <w:name w:val="xl457"/>
    <w:basedOn w:val="Normal"/>
    <w:rsid w:val="00BC394A"/>
    <w:pPr>
      <w:pBdr>
        <w:top w:val="single" w:sz="8" w:space="0" w:color="auto"/>
        <w:bottom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458">
    <w:name w:val="xl458"/>
    <w:basedOn w:val="Normal"/>
    <w:rsid w:val="00BC394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459">
    <w:name w:val="xl459"/>
    <w:basedOn w:val="Normal"/>
    <w:rsid w:val="00BC394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460">
    <w:name w:val="xl460"/>
    <w:basedOn w:val="Normal"/>
    <w:rsid w:val="00BC394A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461">
    <w:name w:val="xl461"/>
    <w:basedOn w:val="Normal"/>
    <w:rsid w:val="00BC394A"/>
    <w:pPr>
      <w:pBdr>
        <w:left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462">
    <w:name w:val="xl462"/>
    <w:basedOn w:val="Normal"/>
    <w:rsid w:val="00BC394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463">
    <w:name w:val="xl463"/>
    <w:basedOn w:val="Normal"/>
    <w:rsid w:val="00BC394A"/>
    <w:pPr>
      <w:pBdr>
        <w:top w:val="single" w:sz="8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C3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2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787/888933166095" TargetMode="External"/><Relationship Id="rId13" Type="http://schemas.openxmlformats.org/officeDocument/2006/relationships/chart" Target="charts/chart5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hyperlink" Target="http://dx.doi.org/10.1787/888933166115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x.doi.org/10.1787/888933166100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hyperlink" Target="http://dx.doi.org/10.1787/888933166122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Показатель 1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Мексика</c:v>
                </c:pt>
                <c:pt idx="1">
                  <c:v>Абу Даби (ОАЭ)</c:v>
                </c:pt>
                <c:pt idx="2">
                  <c:v>Австралия</c:v>
                </c:pt>
                <c:pt idx="3">
                  <c:v>Дания</c:v>
                </c:pt>
                <c:pt idx="4">
                  <c:v>Норвегия</c:v>
                </c:pt>
                <c:pt idx="5">
                  <c:v>Сингапур</c:v>
                </c:pt>
                <c:pt idx="6">
                  <c:v>Фландрия (Бельгия)</c:v>
                </c:pt>
                <c:pt idx="7">
                  <c:v>Исландия</c:v>
                </c:pt>
                <c:pt idx="8">
                  <c:v>Финляндия</c:v>
                </c:pt>
                <c:pt idx="9">
                  <c:v>Польша</c:v>
                </c:pt>
                <c:pt idx="10">
                  <c:v>Италия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66</c:v>
                </c:pt>
                <c:pt idx="1">
                  <c:v>0</c:v>
                </c:pt>
                <c:pt idx="2">
                  <c:v>0</c:v>
                </c:pt>
                <c:pt idx="3">
                  <c:v>76</c:v>
                </c:pt>
                <c:pt idx="4">
                  <c:v>80</c:v>
                </c:pt>
                <c:pt idx="5">
                  <c:v>0</c:v>
                </c:pt>
                <c:pt idx="6">
                  <c:v>82</c:v>
                </c:pt>
                <c:pt idx="7">
                  <c:v>0</c:v>
                </c:pt>
                <c:pt idx="8">
                  <c:v>82</c:v>
                </c:pt>
                <c:pt idx="9">
                  <c:v>85</c:v>
                </c:pt>
                <c:pt idx="10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Показатель 2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Мексика</c:v>
                </c:pt>
                <c:pt idx="1">
                  <c:v>Абу Даби (ОАЭ)</c:v>
                </c:pt>
                <c:pt idx="2">
                  <c:v>Австралия</c:v>
                </c:pt>
                <c:pt idx="3">
                  <c:v>Дания</c:v>
                </c:pt>
                <c:pt idx="4">
                  <c:v>Норвегия</c:v>
                </c:pt>
                <c:pt idx="5">
                  <c:v>Сингапур</c:v>
                </c:pt>
                <c:pt idx="6">
                  <c:v>Фландрия (Бельгия)</c:v>
                </c:pt>
                <c:pt idx="7">
                  <c:v>Исландия</c:v>
                </c:pt>
                <c:pt idx="8">
                  <c:v>Финляндия</c:v>
                </c:pt>
                <c:pt idx="9">
                  <c:v>Польша</c:v>
                </c:pt>
                <c:pt idx="10">
                  <c:v>Италия</c:v>
                </c:pt>
              </c:strCache>
            </c:strRef>
          </c:cat>
          <c:val>
            <c:numRef>
              <c:f>Sheet1!$C$2:$C$12</c:f>
              <c:numCache>
                <c:formatCode>General</c:formatCode>
                <c:ptCount val="11"/>
                <c:pt idx="0">
                  <c:v>54</c:v>
                </c:pt>
                <c:pt idx="1">
                  <c:v>59</c:v>
                </c:pt>
                <c:pt idx="2">
                  <c:v>59</c:v>
                </c:pt>
                <c:pt idx="3">
                  <c:v>60</c:v>
                </c:pt>
                <c:pt idx="4">
                  <c:v>61</c:v>
                </c:pt>
                <c:pt idx="5">
                  <c:v>65</c:v>
                </c:pt>
                <c:pt idx="6">
                  <c:v>68</c:v>
                </c:pt>
                <c:pt idx="7">
                  <c:v>72</c:v>
                </c:pt>
                <c:pt idx="8">
                  <c:v>72</c:v>
                </c:pt>
                <c:pt idx="9">
                  <c:v>75</c:v>
                </c:pt>
                <c:pt idx="10">
                  <c:v>78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Показатель 3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Мексика</c:v>
                </c:pt>
                <c:pt idx="1">
                  <c:v>Абу Даби (ОАЭ)</c:v>
                </c:pt>
                <c:pt idx="2">
                  <c:v>Австралия</c:v>
                </c:pt>
                <c:pt idx="3">
                  <c:v>Дания</c:v>
                </c:pt>
                <c:pt idx="4">
                  <c:v>Норвегия</c:v>
                </c:pt>
                <c:pt idx="5">
                  <c:v>Сингапур</c:v>
                </c:pt>
                <c:pt idx="6">
                  <c:v>Фландрия (Бельгия)</c:v>
                </c:pt>
                <c:pt idx="7">
                  <c:v>Исландия</c:v>
                </c:pt>
                <c:pt idx="8">
                  <c:v>Финляндия</c:v>
                </c:pt>
                <c:pt idx="9">
                  <c:v>Польша</c:v>
                </c:pt>
                <c:pt idx="10">
                  <c:v>Италия</c:v>
                </c:pt>
              </c:strCache>
            </c:strRef>
          </c:cat>
          <c:val>
            <c:numRef>
              <c:f>Sheet1!$D$2:$D$12</c:f>
              <c:numCache>
                <c:formatCode>General</c:formatCode>
                <c:ptCount val="11"/>
                <c:pt idx="0">
                  <c:v>49</c:v>
                </c:pt>
                <c:pt idx="1">
                  <c:v>53</c:v>
                </c:pt>
                <c:pt idx="2">
                  <c:v>57</c:v>
                </c:pt>
                <c:pt idx="3">
                  <c:v>48</c:v>
                </c:pt>
                <c:pt idx="4">
                  <c:v>52</c:v>
                </c:pt>
                <c:pt idx="5">
                  <c:v>64</c:v>
                </c:pt>
                <c:pt idx="6">
                  <c:v>0</c:v>
                </c:pt>
                <c:pt idx="7">
                  <c:v>56</c:v>
                </c:pt>
                <c:pt idx="8">
                  <c:v>62</c:v>
                </c:pt>
                <c:pt idx="9">
                  <c:v>67</c:v>
                </c:pt>
                <c:pt idx="10">
                  <c:v>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673088"/>
        <c:axId val="23674880"/>
      </c:barChart>
      <c:catAx>
        <c:axId val="23673088"/>
        <c:scaling>
          <c:orientation val="minMax"/>
        </c:scaling>
        <c:delete val="0"/>
        <c:axPos val="l"/>
        <c:majorTickMark val="out"/>
        <c:minorTickMark val="none"/>
        <c:tickLblPos val="nextTo"/>
        <c:crossAx val="23674880"/>
        <c:crosses val="autoZero"/>
        <c:auto val="1"/>
        <c:lblAlgn val="ctr"/>
        <c:lblOffset val="100"/>
        <c:noMultiLvlLbl val="0"/>
      </c:catAx>
      <c:valAx>
        <c:axId val="2367488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36730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Показатель 1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Сингапур</c:v>
                </c:pt>
                <c:pt idx="1">
                  <c:v>Абу Даби (ОАЭ)</c:v>
                </c:pt>
                <c:pt idx="2">
                  <c:v>Фландрия (Бельгия)</c:v>
                </c:pt>
                <c:pt idx="3">
                  <c:v>Польша</c:v>
                </c:pt>
                <c:pt idx="4">
                  <c:v>Мексика</c:v>
                </c:pt>
                <c:pt idx="5">
                  <c:v>Австралия</c:v>
                </c:pt>
                <c:pt idx="6">
                  <c:v>Финляндия</c:v>
                </c:pt>
                <c:pt idx="7">
                  <c:v>Норвегия</c:v>
                </c:pt>
                <c:pt idx="8">
                  <c:v>Исландия</c:v>
                </c:pt>
                <c:pt idx="9">
                  <c:v>Дания</c:v>
                </c:pt>
                <c:pt idx="10">
                  <c:v>Италия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39</c:v>
                </c:pt>
                <c:pt idx="3">
                  <c:v>43</c:v>
                </c:pt>
                <c:pt idx="4">
                  <c:v>40</c:v>
                </c:pt>
                <c:pt idx="5">
                  <c:v>0</c:v>
                </c:pt>
                <c:pt idx="6">
                  <c:v>44</c:v>
                </c:pt>
                <c:pt idx="7">
                  <c:v>47</c:v>
                </c:pt>
                <c:pt idx="8">
                  <c:v>0</c:v>
                </c:pt>
                <c:pt idx="9">
                  <c:v>46</c:v>
                </c:pt>
                <c:pt idx="10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Показатель 2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Сингапур</c:v>
                </c:pt>
                <c:pt idx="1">
                  <c:v>Абу Даби (ОАЭ)</c:v>
                </c:pt>
                <c:pt idx="2">
                  <c:v>Фландрия (Бельгия)</c:v>
                </c:pt>
                <c:pt idx="3">
                  <c:v>Польша</c:v>
                </c:pt>
                <c:pt idx="4">
                  <c:v>Мексика</c:v>
                </c:pt>
                <c:pt idx="5">
                  <c:v>Австралия</c:v>
                </c:pt>
                <c:pt idx="6">
                  <c:v>Финляндия</c:v>
                </c:pt>
                <c:pt idx="7">
                  <c:v>Норвегия</c:v>
                </c:pt>
                <c:pt idx="8">
                  <c:v>Исландия</c:v>
                </c:pt>
                <c:pt idx="9">
                  <c:v>Дания</c:v>
                </c:pt>
                <c:pt idx="10">
                  <c:v>Италия</c:v>
                </c:pt>
              </c:strCache>
            </c:strRef>
          </c:cat>
          <c:val>
            <c:numRef>
              <c:f>Sheet1!$C$2:$C$12</c:f>
              <c:numCache>
                <c:formatCode>General</c:formatCode>
                <c:ptCount val="11"/>
                <c:pt idx="0">
                  <c:v>36</c:v>
                </c:pt>
                <c:pt idx="1">
                  <c:v>39</c:v>
                </c:pt>
                <c:pt idx="2">
                  <c:v>39.5</c:v>
                </c:pt>
                <c:pt idx="3">
                  <c:v>41</c:v>
                </c:pt>
                <c:pt idx="4">
                  <c:v>42</c:v>
                </c:pt>
                <c:pt idx="5">
                  <c:v>43</c:v>
                </c:pt>
                <c:pt idx="6">
                  <c:v>44.5</c:v>
                </c:pt>
                <c:pt idx="7">
                  <c:v>45</c:v>
                </c:pt>
                <c:pt idx="8">
                  <c:v>45</c:v>
                </c:pt>
                <c:pt idx="9">
                  <c:v>45</c:v>
                </c:pt>
                <c:pt idx="10">
                  <c:v>48.5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Показатель 3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Сингапур</c:v>
                </c:pt>
                <c:pt idx="1">
                  <c:v>Абу Даби (ОАЭ)</c:v>
                </c:pt>
                <c:pt idx="2">
                  <c:v>Фландрия (Бельгия)</c:v>
                </c:pt>
                <c:pt idx="3">
                  <c:v>Польша</c:v>
                </c:pt>
                <c:pt idx="4">
                  <c:v>Мексика</c:v>
                </c:pt>
                <c:pt idx="5">
                  <c:v>Австралия</c:v>
                </c:pt>
                <c:pt idx="6">
                  <c:v>Финляндия</c:v>
                </c:pt>
                <c:pt idx="7">
                  <c:v>Норвегия</c:v>
                </c:pt>
                <c:pt idx="8">
                  <c:v>Исландия</c:v>
                </c:pt>
                <c:pt idx="9">
                  <c:v>Дания</c:v>
                </c:pt>
                <c:pt idx="10">
                  <c:v>Италия</c:v>
                </c:pt>
              </c:strCache>
            </c:strRef>
          </c:cat>
          <c:val>
            <c:numRef>
              <c:f>Sheet1!$D$2:$D$12</c:f>
              <c:numCache>
                <c:formatCode>General</c:formatCode>
                <c:ptCount val="11"/>
                <c:pt idx="0">
                  <c:v>37</c:v>
                </c:pt>
                <c:pt idx="1">
                  <c:v>41</c:v>
                </c:pt>
                <c:pt idx="2">
                  <c:v>0</c:v>
                </c:pt>
                <c:pt idx="3">
                  <c:v>42</c:v>
                </c:pt>
                <c:pt idx="4">
                  <c:v>41</c:v>
                </c:pt>
                <c:pt idx="5">
                  <c:v>44</c:v>
                </c:pt>
                <c:pt idx="6">
                  <c:v>47</c:v>
                </c:pt>
                <c:pt idx="7">
                  <c:v>48</c:v>
                </c:pt>
                <c:pt idx="8">
                  <c:v>49</c:v>
                </c:pt>
                <c:pt idx="9">
                  <c:v>47</c:v>
                </c:pt>
                <c:pt idx="10">
                  <c:v>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667648"/>
        <c:axId val="64669184"/>
      </c:barChart>
      <c:catAx>
        <c:axId val="64667648"/>
        <c:scaling>
          <c:orientation val="minMax"/>
        </c:scaling>
        <c:delete val="0"/>
        <c:axPos val="l"/>
        <c:majorTickMark val="out"/>
        <c:minorTickMark val="none"/>
        <c:tickLblPos val="nextTo"/>
        <c:crossAx val="64669184"/>
        <c:crosses val="autoZero"/>
        <c:auto val="1"/>
        <c:lblAlgn val="ctr"/>
        <c:lblOffset val="100"/>
        <c:noMultiLvlLbl val="0"/>
      </c:catAx>
      <c:valAx>
        <c:axId val="6466918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6466764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Показатель 1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Сингапур</c:v>
                </c:pt>
                <c:pt idx="1">
                  <c:v>Абу Даби (ОАЭ)</c:v>
                </c:pt>
                <c:pt idx="2">
                  <c:v>Исландия</c:v>
                </c:pt>
                <c:pt idx="3">
                  <c:v>Фландрия (Бельгия)</c:v>
                </c:pt>
                <c:pt idx="4">
                  <c:v>Норвегия</c:v>
                </c:pt>
                <c:pt idx="5">
                  <c:v>Финляндия</c:v>
                </c:pt>
                <c:pt idx="6">
                  <c:v>Мексика</c:v>
                </c:pt>
                <c:pt idx="7">
                  <c:v>Дания</c:v>
                </c:pt>
                <c:pt idx="8">
                  <c:v>Австралия</c:v>
                </c:pt>
                <c:pt idx="9">
                  <c:v>Польша</c:v>
                </c:pt>
                <c:pt idx="10">
                  <c:v>Италия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16.5</c:v>
                </c:pt>
                <c:pt idx="4">
                  <c:v>16</c:v>
                </c:pt>
                <c:pt idx="5">
                  <c:v>15.5</c:v>
                </c:pt>
                <c:pt idx="6">
                  <c:v>16</c:v>
                </c:pt>
                <c:pt idx="7">
                  <c:v>16</c:v>
                </c:pt>
                <c:pt idx="8">
                  <c:v>0</c:v>
                </c:pt>
                <c:pt idx="9">
                  <c:v>18</c:v>
                </c:pt>
                <c:pt idx="10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Показатель 2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Сингапур</c:v>
                </c:pt>
                <c:pt idx="1">
                  <c:v>Абу Даби (ОАЭ)</c:v>
                </c:pt>
                <c:pt idx="2">
                  <c:v>Исландия</c:v>
                </c:pt>
                <c:pt idx="3">
                  <c:v>Фландрия (Бельгия)</c:v>
                </c:pt>
                <c:pt idx="4">
                  <c:v>Норвегия</c:v>
                </c:pt>
                <c:pt idx="5">
                  <c:v>Финляндия</c:v>
                </c:pt>
                <c:pt idx="6">
                  <c:v>Мексика</c:v>
                </c:pt>
                <c:pt idx="7">
                  <c:v>Дания</c:v>
                </c:pt>
                <c:pt idx="8">
                  <c:v>Австралия</c:v>
                </c:pt>
                <c:pt idx="9">
                  <c:v>Польша</c:v>
                </c:pt>
                <c:pt idx="10">
                  <c:v>Италия</c:v>
                </c:pt>
              </c:strCache>
            </c:strRef>
          </c:cat>
          <c:val>
            <c:numRef>
              <c:f>Sheet1!$C$2:$C$12</c:f>
              <c:numCache>
                <c:formatCode>General</c:formatCode>
                <c:ptCount val="11"/>
                <c:pt idx="0">
                  <c:v>9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15.4</c:v>
                </c:pt>
                <c:pt idx="5">
                  <c:v>15.5</c:v>
                </c:pt>
                <c:pt idx="6">
                  <c:v>16</c:v>
                </c:pt>
                <c:pt idx="7">
                  <c:v>16.5</c:v>
                </c:pt>
                <c:pt idx="8">
                  <c:v>17</c:v>
                </c:pt>
                <c:pt idx="9">
                  <c:v>17</c:v>
                </c:pt>
                <c:pt idx="10">
                  <c:v>19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Показатель 3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Сингапур</c:v>
                </c:pt>
                <c:pt idx="1">
                  <c:v>Абу Даби (ОАЭ)</c:v>
                </c:pt>
                <c:pt idx="2">
                  <c:v>Исландия</c:v>
                </c:pt>
                <c:pt idx="3">
                  <c:v>Фландрия (Бельгия)</c:v>
                </c:pt>
                <c:pt idx="4">
                  <c:v>Норвегия</c:v>
                </c:pt>
                <c:pt idx="5">
                  <c:v>Финляндия</c:v>
                </c:pt>
                <c:pt idx="6">
                  <c:v>Мексика</c:v>
                </c:pt>
                <c:pt idx="7">
                  <c:v>Дания</c:v>
                </c:pt>
                <c:pt idx="8">
                  <c:v>Австралия</c:v>
                </c:pt>
                <c:pt idx="9">
                  <c:v>Польша</c:v>
                </c:pt>
                <c:pt idx="10">
                  <c:v>Италия</c:v>
                </c:pt>
              </c:strCache>
            </c:strRef>
          </c:cat>
          <c:val>
            <c:numRef>
              <c:f>Sheet1!$D$2:$D$12</c:f>
              <c:numCache>
                <c:formatCode>General</c:formatCode>
                <c:ptCount val="11"/>
                <c:pt idx="0">
                  <c:v>11</c:v>
                </c:pt>
                <c:pt idx="1">
                  <c:v>15</c:v>
                </c:pt>
                <c:pt idx="2">
                  <c:v>16</c:v>
                </c:pt>
                <c:pt idx="3">
                  <c:v>0</c:v>
                </c:pt>
                <c:pt idx="4">
                  <c:v>15.5</c:v>
                </c:pt>
                <c:pt idx="5">
                  <c:v>16</c:v>
                </c:pt>
                <c:pt idx="6">
                  <c:v>14</c:v>
                </c:pt>
                <c:pt idx="7">
                  <c:v>14</c:v>
                </c:pt>
                <c:pt idx="8">
                  <c:v>18</c:v>
                </c:pt>
                <c:pt idx="9">
                  <c:v>16</c:v>
                </c:pt>
                <c:pt idx="10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683008"/>
        <c:axId val="66466560"/>
      </c:barChart>
      <c:catAx>
        <c:axId val="64683008"/>
        <c:scaling>
          <c:orientation val="minMax"/>
        </c:scaling>
        <c:delete val="0"/>
        <c:axPos val="l"/>
        <c:majorTickMark val="out"/>
        <c:minorTickMark val="none"/>
        <c:tickLblPos val="nextTo"/>
        <c:crossAx val="66466560"/>
        <c:crosses val="autoZero"/>
        <c:auto val="1"/>
        <c:lblAlgn val="ctr"/>
        <c:lblOffset val="100"/>
        <c:noMultiLvlLbl val="0"/>
      </c:catAx>
      <c:valAx>
        <c:axId val="6646656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646830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Показатель 1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Мексика</c:v>
                </c:pt>
                <c:pt idx="1">
                  <c:v>Италия</c:v>
                </c:pt>
                <c:pt idx="2">
                  <c:v>Абу Даби (ОАЭ)</c:v>
                </c:pt>
                <c:pt idx="3">
                  <c:v>Исландия</c:v>
                </c:pt>
                <c:pt idx="4">
                  <c:v>Финляндия</c:v>
                </c:pt>
                <c:pt idx="5">
                  <c:v>Норвегия</c:v>
                </c:pt>
                <c:pt idx="6">
                  <c:v>Дания</c:v>
                </c:pt>
                <c:pt idx="7">
                  <c:v>Австралия</c:v>
                </c:pt>
                <c:pt idx="8">
                  <c:v>Фландрия(Бельгия)</c:v>
                </c:pt>
                <c:pt idx="9">
                  <c:v>Сингапур</c:v>
                </c:pt>
                <c:pt idx="10">
                  <c:v>Польша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82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92</c:v>
                </c:pt>
                <c:pt idx="5">
                  <c:v>85</c:v>
                </c:pt>
                <c:pt idx="6">
                  <c:v>90</c:v>
                </c:pt>
                <c:pt idx="7">
                  <c:v>0</c:v>
                </c:pt>
                <c:pt idx="8">
                  <c:v>99</c:v>
                </c:pt>
                <c:pt idx="9">
                  <c:v>0</c:v>
                </c:pt>
                <c:pt idx="10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Показатель2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Мексика</c:v>
                </c:pt>
                <c:pt idx="1">
                  <c:v>Италия</c:v>
                </c:pt>
                <c:pt idx="2">
                  <c:v>Абу Даби (ОАЭ)</c:v>
                </c:pt>
                <c:pt idx="3">
                  <c:v>Исландия</c:v>
                </c:pt>
                <c:pt idx="4">
                  <c:v>Финляндия</c:v>
                </c:pt>
                <c:pt idx="5">
                  <c:v>Норвегия</c:v>
                </c:pt>
                <c:pt idx="6">
                  <c:v>Дания</c:v>
                </c:pt>
                <c:pt idx="7">
                  <c:v>Австралия</c:v>
                </c:pt>
                <c:pt idx="8">
                  <c:v>Фландрия(Бельгия)</c:v>
                </c:pt>
                <c:pt idx="9">
                  <c:v>Сингапур</c:v>
                </c:pt>
                <c:pt idx="10">
                  <c:v>Польша</c:v>
                </c:pt>
              </c:strCache>
            </c:strRef>
          </c:cat>
          <c:val>
            <c:numRef>
              <c:f>Sheet1!$C$2:$C$12</c:f>
              <c:numCache>
                <c:formatCode>General</c:formatCode>
                <c:ptCount val="11"/>
                <c:pt idx="0">
                  <c:v>62</c:v>
                </c:pt>
                <c:pt idx="1">
                  <c:v>79</c:v>
                </c:pt>
                <c:pt idx="2">
                  <c:v>83</c:v>
                </c:pt>
                <c:pt idx="3">
                  <c:v>92</c:v>
                </c:pt>
                <c:pt idx="4">
                  <c:v>93</c:v>
                </c:pt>
                <c:pt idx="5">
                  <c:v>94</c:v>
                </c:pt>
                <c:pt idx="6">
                  <c:v>94</c:v>
                </c:pt>
                <c:pt idx="7">
                  <c:v>97</c:v>
                </c:pt>
                <c:pt idx="8">
                  <c:v>97</c:v>
                </c:pt>
                <c:pt idx="9">
                  <c:v>99</c:v>
                </c:pt>
                <c:pt idx="10">
                  <c:v>98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Показатель 3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Мексика</c:v>
                </c:pt>
                <c:pt idx="1">
                  <c:v>Италия</c:v>
                </c:pt>
                <c:pt idx="2">
                  <c:v>Абу Даби (ОАЭ)</c:v>
                </c:pt>
                <c:pt idx="3">
                  <c:v>Исландия</c:v>
                </c:pt>
                <c:pt idx="4">
                  <c:v>Финляндия</c:v>
                </c:pt>
                <c:pt idx="5">
                  <c:v>Норвегия</c:v>
                </c:pt>
                <c:pt idx="6">
                  <c:v>Дания</c:v>
                </c:pt>
                <c:pt idx="7">
                  <c:v>Австралия</c:v>
                </c:pt>
                <c:pt idx="8">
                  <c:v>Фландрия(Бельгия)</c:v>
                </c:pt>
                <c:pt idx="9">
                  <c:v>Сингапур</c:v>
                </c:pt>
                <c:pt idx="10">
                  <c:v>Польша</c:v>
                </c:pt>
              </c:strCache>
            </c:strRef>
          </c:cat>
          <c:val>
            <c:numRef>
              <c:f>Sheet1!$D$2:$D$12</c:f>
              <c:numCache>
                <c:formatCode>General</c:formatCode>
                <c:ptCount val="11"/>
                <c:pt idx="0">
                  <c:v>25</c:v>
                </c:pt>
                <c:pt idx="1">
                  <c:v>71</c:v>
                </c:pt>
                <c:pt idx="2">
                  <c:v>86</c:v>
                </c:pt>
                <c:pt idx="3">
                  <c:v>94</c:v>
                </c:pt>
                <c:pt idx="4">
                  <c:v>91</c:v>
                </c:pt>
                <c:pt idx="5">
                  <c:v>87</c:v>
                </c:pt>
                <c:pt idx="6">
                  <c:v>83</c:v>
                </c:pt>
                <c:pt idx="7">
                  <c:v>96</c:v>
                </c:pt>
                <c:pt idx="8">
                  <c:v>0</c:v>
                </c:pt>
                <c:pt idx="9">
                  <c:v>98</c:v>
                </c:pt>
                <c:pt idx="10">
                  <c:v>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500096"/>
        <c:axId val="66501632"/>
      </c:barChart>
      <c:catAx>
        <c:axId val="66500096"/>
        <c:scaling>
          <c:orientation val="minMax"/>
        </c:scaling>
        <c:delete val="0"/>
        <c:axPos val="l"/>
        <c:majorTickMark val="out"/>
        <c:minorTickMark val="none"/>
        <c:tickLblPos val="nextTo"/>
        <c:crossAx val="66501632"/>
        <c:crosses val="autoZero"/>
        <c:auto val="1"/>
        <c:lblAlgn val="ctr"/>
        <c:lblOffset val="100"/>
        <c:noMultiLvlLbl val="0"/>
      </c:catAx>
      <c:valAx>
        <c:axId val="665016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6650009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strRef>
              <c:f>Sheet1!$A$2:$A$15</c:f>
              <c:strCache>
                <c:ptCount val="14"/>
                <c:pt idx="0">
                  <c:v>знание школьной программы</c:v>
                </c:pt>
                <c:pt idx="1">
                  <c:v>знание и понимание профильного предмета</c:v>
                </c:pt>
                <c:pt idx="2">
                  <c:v>педагогическая компетенция в профильном предмете</c:v>
                </c:pt>
                <c:pt idx="3">
                  <c:v>административное управление школой</c:v>
                </c:pt>
                <c:pt idx="4">
                  <c:v>практика оценки студентов</c:v>
                </c:pt>
                <c:pt idx="5">
                  <c:v>обучение общекуррикулярным навыкам (напр. решение поставленных задач, подход учащегося к обучению</c:v>
                </c:pt>
                <c:pt idx="6">
                  <c:v>поведение студентов и управление классом</c:v>
                </c:pt>
                <c:pt idx="7">
                  <c:v>индивидуализированное обучение</c:v>
                </c:pt>
                <c:pt idx="8">
                  <c:v>изучение специализированных предметов для будущей профессии или дальнейшего обучения</c:v>
                </c:pt>
                <c:pt idx="9">
                  <c:v>консультации в сфере профориентации учащихся</c:v>
                </c:pt>
                <c:pt idx="10">
                  <c:v>преподавание в мультикультурной или мультилингвальной среде</c:v>
                </c:pt>
                <c:pt idx="11">
                  <c:v>использование в работе новейших технологий</c:v>
                </c:pt>
                <c:pt idx="12">
                  <c:v>навык работы в смешанных классах</c:v>
                </c:pt>
                <c:pt idx="13">
                  <c:v>Обучение детей со специальными потребностями</c:v>
                </c:pt>
              </c:strCache>
            </c:strRef>
          </c:cat>
          <c:val>
            <c:numRef>
              <c:f>Sheet1!$B$2:$B$15</c:f>
              <c:numCache>
                <c:formatCode>General</c:formatCode>
                <c:ptCount val="14"/>
                <c:pt idx="0">
                  <c:v>4.0999999999999996</c:v>
                </c:pt>
                <c:pt idx="1">
                  <c:v>4.8</c:v>
                </c:pt>
                <c:pt idx="2">
                  <c:v>5</c:v>
                </c:pt>
                <c:pt idx="3">
                  <c:v>5.9</c:v>
                </c:pt>
                <c:pt idx="4">
                  <c:v>9</c:v>
                </c:pt>
                <c:pt idx="5">
                  <c:v>7.5</c:v>
                </c:pt>
                <c:pt idx="6">
                  <c:v>9</c:v>
                </c:pt>
                <c:pt idx="7">
                  <c:v>9</c:v>
                </c:pt>
                <c:pt idx="8">
                  <c:v>7</c:v>
                </c:pt>
                <c:pt idx="9">
                  <c:v>6</c:v>
                </c:pt>
                <c:pt idx="10">
                  <c:v>14</c:v>
                </c:pt>
                <c:pt idx="11">
                  <c:v>16</c:v>
                </c:pt>
                <c:pt idx="12">
                  <c:v>21</c:v>
                </c:pt>
                <c:pt idx="13">
                  <c:v>25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invertIfNegative val="0"/>
          <c:cat>
            <c:strRef>
              <c:f>Sheet1!$A$2:$A$15</c:f>
              <c:strCache>
                <c:ptCount val="14"/>
                <c:pt idx="0">
                  <c:v>знание школьной программы</c:v>
                </c:pt>
                <c:pt idx="1">
                  <c:v>знание и понимание профильного предмета</c:v>
                </c:pt>
                <c:pt idx="2">
                  <c:v>педагогическая компетенция в профильном предмете</c:v>
                </c:pt>
                <c:pt idx="3">
                  <c:v>административное управление школой</c:v>
                </c:pt>
                <c:pt idx="4">
                  <c:v>практика оценки студентов</c:v>
                </c:pt>
                <c:pt idx="5">
                  <c:v>обучение общекуррикулярным навыкам (напр. решение поставленных задач, подход учащегося к обучению</c:v>
                </c:pt>
                <c:pt idx="6">
                  <c:v>поведение студентов и управление классом</c:v>
                </c:pt>
                <c:pt idx="7">
                  <c:v>индивидуализированное обучение</c:v>
                </c:pt>
                <c:pt idx="8">
                  <c:v>изучение специализированных предметов для будущей профессии или дальнейшего обучения</c:v>
                </c:pt>
                <c:pt idx="9">
                  <c:v>консультации в сфере профориентации учащихся</c:v>
                </c:pt>
                <c:pt idx="10">
                  <c:v>преподавание в мультикультурной или мультилингвальной среде</c:v>
                </c:pt>
                <c:pt idx="11">
                  <c:v>использование в работе новейших технологий</c:v>
                </c:pt>
                <c:pt idx="12">
                  <c:v>навык работы в смешанных классах</c:v>
                </c:pt>
                <c:pt idx="13">
                  <c:v>Обучение детей со специальными потребностями</c:v>
                </c:pt>
              </c:strCache>
            </c:strRef>
          </c:cat>
          <c:val>
            <c:numRef>
              <c:f>Sheet1!$C$2:$C$15</c:f>
              <c:numCache>
                <c:formatCode>General</c:formatCode>
                <c:ptCount val="14"/>
                <c:pt idx="0">
                  <c:v>4</c:v>
                </c:pt>
                <c:pt idx="1">
                  <c:v>4.9000000000000004</c:v>
                </c:pt>
                <c:pt idx="2">
                  <c:v>5.3</c:v>
                </c:pt>
                <c:pt idx="3">
                  <c:v>6</c:v>
                </c:pt>
                <c:pt idx="4">
                  <c:v>6.5</c:v>
                </c:pt>
                <c:pt idx="5">
                  <c:v>7</c:v>
                </c:pt>
                <c:pt idx="6">
                  <c:v>7.9</c:v>
                </c:pt>
                <c:pt idx="7">
                  <c:v>8</c:v>
                </c:pt>
                <c:pt idx="8">
                  <c:v>9</c:v>
                </c:pt>
                <c:pt idx="9">
                  <c:v>7.5</c:v>
                </c:pt>
                <c:pt idx="10">
                  <c:v>12</c:v>
                </c:pt>
                <c:pt idx="11">
                  <c:v>16.5</c:v>
                </c:pt>
                <c:pt idx="12">
                  <c:v>17</c:v>
                </c:pt>
                <c:pt idx="13">
                  <c:v>23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invertIfNegative val="0"/>
          <c:cat>
            <c:strRef>
              <c:f>Sheet1!$A$2:$A$15</c:f>
              <c:strCache>
                <c:ptCount val="14"/>
                <c:pt idx="0">
                  <c:v>знание школьной программы</c:v>
                </c:pt>
                <c:pt idx="1">
                  <c:v>знание и понимание профильного предмета</c:v>
                </c:pt>
                <c:pt idx="2">
                  <c:v>педагогическая компетенция в профильном предмете</c:v>
                </c:pt>
                <c:pt idx="3">
                  <c:v>административное управление школой</c:v>
                </c:pt>
                <c:pt idx="4">
                  <c:v>практика оценки студентов</c:v>
                </c:pt>
                <c:pt idx="5">
                  <c:v>обучение общекуррикулярным навыкам (напр. решение поставленных задач, подход учащегося к обучению</c:v>
                </c:pt>
                <c:pt idx="6">
                  <c:v>поведение студентов и управление классом</c:v>
                </c:pt>
                <c:pt idx="7">
                  <c:v>индивидуализированное обучение</c:v>
                </c:pt>
                <c:pt idx="8">
                  <c:v>изучение специализированных предметов для будущей профессии или дальнейшего обучения</c:v>
                </c:pt>
                <c:pt idx="9">
                  <c:v>консультации в сфере профориентации учащихся</c:v>
                </c:pt>
                <c:pt idx="10">
                  <c:v>преподавание в мультикультурной или мультилингвальной среде</c:v>
                </c:pt>
                <c:pt idx="11">
                  <c:v>использование в работе новейших технологий</c:v>
                </c:pt>
                <c:pt idx="12">
                  <c:v>навык работы в смешанных классах</c:v>
                </c:pt>
                <c:pt idx="13">
                  <c:v>Обучение детей со специальными потребностями</c:v>
                </c:pt>
              </c:strCache>
            </c:strRef>
          </c:cat>
          <c:val>
            <c:numRef>
              <c:f>Sheet1!$D$2:$D$15</c:f>
              <c:numCache>
                <c:formatCode>General</c:formatCode>
                <c:ptCount val="14"/>
                <c:pt idx="0">
                  <c:v>2</c:v>
                </c:pt>
                <c:pt idx="1">
                  <c:v>4.9000000000000004</c:v>
                </c:pt>
                <c:pt idx="2">
                  <c:v>6</c:v>
                </c:pt>
                <c:pt idx="3">
                  <c:v>6</c:v>
                </c:pt>
                <c:pt idx="4">
                  <c:v>6</c:v>
                </c:pt>
                <c:pt idx="5">
                  <c:v>6.5</c:v>
                </c:pt>
                <c:pt idx="6">
                  <c:v>8</c:v>
                </c:pt>
                <c:pt idx="7">
                  <c:v>7</c:v>
                </c:pt>
                <c:pt idx="8">
                  <c:v>10</c:v>
                </c:pt>
                <c:pt idx="9">
                  <c:v>8</c:v>
                </c:pt>
                <c:pt idx="10">
                  <c:v>11</c:v>
                </c:pt>
                <c:pt idx="11">
                  <c:v>17</c:v>
                </c:pt>
                <c:pt idx="12">
                  <c:v>13</c:v>
                </c:pt>
                <c:pt idx="13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5865600"/>
        <c:axId val="65867136"/>
      </c:barChart>
      <c:catAx>
        <c:axId val="65865600"/>
        <c:scaling>
          <c:orientation val="minMax"/>
        </c:scaling>
        <c:delete val="0"/>
        <c:axPos val="l"/>
        <c:majorTickMark val="out"/>
        <c:minorTickMark val="none"/>
        <c:tickLblPos val="nextTo"/>
        <c:crossAx val="65867136"/>
        <c:crosses val="autoZero"/>
        <c:auto val="1"/>
        <c:lblAlgn val="ctr"/>
        <c:lblOffset val="100"/>
        <c:noMultiLvlLbl val="0"/>
      </c:catAx>
      <c:valAx>
        <c:axId val="658671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658656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10</Pages>
  <Words>3060</Words>
  <Characters>20036</Characters>
  <Application>Microsoft Office Word</Application>
  <DocSecurity>0</DocSecurity>
  <Lines>386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Ashkan</dc:creator>
  <cp:keywords/>
  <dc:description/>
  <cp:lastModifiedBy>Ashkan</cp:lastModifiedBy>
  <cp:revision>39</cp:revision>
  <dcterms:created xsi:type="dcterms:W3CDTF">2015-04-29T16:35:00Z</dcterms:created>
  <dcterms:modified xsi:type="dcterms:W3CDTF">2015-04-29T22:34:00Z</dcterms:modified>
</cp:coreProperties>
</file>