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line="360" w:lineRule="auto"/>
        <w:jc w:val="center"/>
        <w:rPr>
          <w:rFonts w:ascii="Times New Roman" w:hAnsi="Times New Roman"/>
          <w:sz w:val="24"/>
          <w:szCs w:val="24"/>
          <w:u w:color="auto" w:val="single"/>
        </w:rPr>
      </w:pPr>
      <w:r>
        <w:rPr>
          <w:rFonts w:ascii="Times New Roman" w:hAnsi="Times New Roman"/>
          <w:sz w:val="24"/>
          <w:szCs w:val="24"/>
          <w:u w:color="auto" w:val="single"/>
        </w:rPr>
        <w:t>Перевод инструкции по применению спрея для носа «Викс Актив Синекс»</w:t>
      </w:r>
    </w:p>
    <w:p>
      <w:pPr>
        <w:pStyle w:val="para2"/>
        <w:spacing w:line="360" w:lineRule="auto"/>
        <w:jc w:val="both"/>
        <w:rPr>
          <w:rFonts w:ascii="Times New Roman" w:hAnsi="Times New Roman"/>
          <w:sz w:val="24"/>
          <w:szCs w:val="24"/>
          <w:lang w:val="en-us"/>
        </w:rPr>
      </w:pPr>
      <w:r>
        <w:rPr>
          <w:rFonts w:ascii="Times New Roman" w:hAnsi="Times New Roman"/>
          <w:sz w:val="24"/>
          <w:szCs w:val="24"/>
          <w:lang w:val="en-us"/>
        </w:rPr>
      </w:r>
    </w:p>
    <w:p>
      <w:pPr>
        <w:pStyle w:val="para2"/>
        <w:spacing w:line="360" w:lineRule="auto"/>
        <w:jc w:val="both"/>
        <w:rPr>
          <w:rFonts w:ascii="Times New Roman" w:hAnsi="Times New Roman"/>
          <w:b/>
          <w:bCs/>
          <w:sz w:val="24"/>
          <w:szCs w:val="24"/>
        </w:rPr>
      </w:pPr>
      <w:r>
        <w:rPr>
          <w:rFonts w:ascii="Times New Roman" w:hAnsi="Times New Roman"/>
          <w:b/>
          <w:bCs/>
          <w:sz w:val="24"/>
          <w:szCs w:val="24"/>
        </w:rPr>
        <w:t>Инструкция по применению: Викс Актив Синекс (</w:t>
      </w:r>
      <w:r>
        <w:rPr>
          <w:rFonts w:ascii="Times New Roman" w:hAnsi="Times New Roman"/>
          <w:b/>
          <w:bCs/>
          <w:sz w:val="24"/>
          <w:szCs w:val="24"/>
          <w:lang w:val="en-us"/>
        </w:rPr>
        <w:t>Vicks</w:t>
      </w:r>
      <w:r>
        <w:rPr>
          <w:rFonts w:ascii="Times New Roman" w:hAnsi="Times New Roman"/>
          <w:b/>
          <w:bCs/>
          <w:sz w:val="24"/>
          <w:szCs w:val="24"/>
        </w:rPr>
        <w:t xml:space="preserve"> </w:t>
      </w:r>
      <w:r>
        <w:rPr>
          <w:rFonts w:ascii="Times New Roman" w:hAnsi="Times New Roman"/>
          <w:b/>
          <w:bCs/>
          <w:sz w:val="24"/>
          <w:szCs w:val="24"/>
          <w:lang w:val="en-us"/>
        </w:rPr>
        <w:t>Active</w:t>
      </w:r>
      <w:r>
        <w:rPr>
          <w:rFonts w:ascii="Times New Roman" w:hAnsi="Times New Roman"/>
          <w:b/>
          <w:bCs/>
          <w:sz w:val="24"/>
          <w:szCs w:val="24"/>
        </w:rPr>
        <w:t xml:space="preserve"> </w:t>
      </w:r>
      <w:r>
        <w:rPr>
          <w:rFonts w:ascii="Times New Roman" w:hAnsi="Times New Roman"/>
          <w:b/>
          <w:bCs/>
          <w:sz w:val="24"/>
          <w:szCs w:val="24"/>
          <w:lang w:val="en-us"/>
        </w:rPr>
        <w:t>Sinex</w:t>
      </w:r>
      <w:r>
        <w:rPr>
          <w:rFonts w:ascii="Times New Roman" w:hAnsi="Times New Roman"/>
          <w:b/>
          <w:bCs/>
          <w:sz w:val="24"/>
          <w:szCs w:val="24"/>
        </w:rPr>
        <w:t>)</w:t>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Код АТХ R01AA05 Оксиметазолин</w:t>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Фармакотерапевтическая группа</w:t>
      </w:r>
    </w:p>
    <w:p>
      <w:pPr>
        <w:pStyle w:val="para2"/>
        <w:spacing w:line="360" w:lineRule="auto"/>
        <w:jc w:val="both"/>
        <w:rPr>
          <w:rFonts w:ascii="Times New Roman" w:hAnsi="Times New Roman"/>
          <w:sz w:val="24"/>
          <w:szCs w:val="24"/>
        </w:rPr>
      </w:pPr>
      <w:r>
        <w:rPr>
          <w:rFonts w:ascii="Times New Roman" w:hAnsi="Times New Roman"/>
          <w:sz w:val="24"/>
          <w:szCs w:val="24"/>
        </w:rPr>
        <w:t>Противоконгестивное средство — альфа-адреномиметик [Альфа-адреномиметики]</w:t>
      </w:r>
    </w:p>
    <w:p>
      <w:pPr>
        <w:pStyle w:val="para2"/>
        <w:spacing w:line="360" w:lineRule="auto"/>
        <w:jc w:val="both"/>
        <w:rPr>
          <w:rFonts w:ascii="Times New Roman" w:hAnsi="Times New Roman"/>
          <w:sz w:val="24"/>
          <w:szCs w:val="24"/>
        </w:rPr>
      </w:pPr>
      <w:hyperlink r:id="rId8" w:history="1">
        <w:r>
          <w:rPr>
            <w:rStyle w:val="char1"/>
            <w:rFonts w:ascii="Times New Roman" w:hAnsi="Times New Roman"/>
            <w:color w:val="auto"/>
            <w:sz w:val="24"/>
            <w:szCs w:val="24"/>
            <w:u w:color="auto" w:val="none"/>
          </w:rPr>
          <w:t>Противоконгестивное</w:t>
        </w:r>
        <w:r>
          <w:rPr>
            <w:rStyle w:val="char1"/>
            <w:rFonts w:ascii="Times New Roman" w:hAnsi="Times New Roman"/>
            <w:color w:val="auto"/>
            <w:sz w:val="24"/>
            <w:szCs w:val="24"/>
            <w:u w:color="auto" w:val="none"/>
          </w:rPr>
          <w:t xml:space="preserve"> средство — альфа-</w:t>
        </w:r>
        <w:r>
          <w:rPr>
            <w:rStyle w:val="char1"/>
            <w:rFonts w:ascii="Times New Roman" w:hAnsi="Times New Roman"/>
            <w:color w:val="auto"/>
            <w:sz w:val="24"/>
            <w:szCs w:val="24"/>
            <w:u w:color="auto" w:val="none"/>
          </w:rPr>
          <w:t>адреномиметик</w:t>
        </w:r>
        <w:r>
          <w:rPr>
            <w:rStyle w:val="char1"/>
            <w:rFonts w:ascii="Times New Roman" w:hAnsi="Times New Roman"/>
            <w:color w:val="auto"/>
            <w:sz w:val="24"/>
            <w:szCs w:val="24"/>
            <w:u w:color="auto" w:val="none"/>
          </w:rPr>
          <w:t> [</w:t>
        </w:r>
        <w:r>
          <w:rPr>
            <w:rStyle w:val="char1"/>
            <w:rFonts w:ascii="Times New Roman" w:hAnsi="Times New Roman"/>
            <w:color w:val="auto"/>
            <w:sz w:val="24"/>
            <w:szCs w:val="24"/>
            <w:u w:color="auto" w:val="none"/>
          </w:rPr>
          <w:t>Антиконгестанты</w:t>
        </w:r>
        <w:r>
          <w:rPr>
            <w:rStyle w:val="char1"/>
            <w:rFonts w:ascii="Times New Roman" w:hAnsi="Times New Roman"/>
            <w:color w:val="auto"/>
            <w:sz w:val="24"/>
            <w:szCs w:val="24"/>
            <w:u w:color="auto" w:val="none"/>
          </w:rPr>
          <w:t>]</w:t>
        </w:r>
      </w:hyperlink>
    </w:p>
    <w:p>
      <w:pPr>
        <w:pStyle w:val="para2"/>
        <w:spacing w:line="360" w:lineRule="auto"/>
        <w:jc w:val="both"/>
        <w:rPr>
          <w:rFonts w:ascii="Times New Roman" w:hAnsi="Times New Roman"/>
          <w:bCs/>
          <w:sz w:val="24"/>
          <w:szCs w:val="24"/>
        </w:rPr>
      </w:pPr>
      <w:r>
        <w:rPr>
          <w:rFonts w:ascii="Times New Roman" w:hAnsi="Times New Roman"/>
          <w:bCs/>
          <w:sz w:val="24"/>
          <w:szCs w:val="24"/>
        </w:rPr>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Нозологическая классификация (МКБ-10)</w:t>
      </w:r>
    </w:p>
    <w:p>
      <w:pPr>
        <w:pStyle w:val="para2"/>
        <w:spacing w:line="360" w:lineRule="auto"/>
        <w:jc w:val="both"/>
        <w:rPr>
          <w:rFonts w:ascii="Times New Roman" w:hAnsi="Times New Roman"/>
          <w:b/>
          <w:bCs/>
          <w:sz w:val="24"/>
          <w:szCs w:val="24"/>
        </w:rPr>
      </w:pPr>
      <w:r>
        <w:rPr>
          <w:rFonts w:ascii="Times New Roman" w:hAnsi="Times New Roman"/>
          <w:b/>
          <w:bCs/>
          <w:sz w:val="24"/>
          <w:szCs w:val="24"/>
        </w:rPr>
        <w:t>Острый назофарингит [насморк]</w:t>
      </w:r>
    </w:p>
    <w:p>
      <w:pPr>
        <w:pStyle w:val="para2"/>
        <w:spacing w:line="360" w:lineRule="auto"/>
        <w:jc w:val="both"/>
        <w:rPr>
          <w:rFonts w:ascii="Times New Roman" w:hAnsi="Times New Roman"/>
          <w:bCs/>
          <w:sz w:val="24"/>
          <w:szCs w:val="24"/>
        </w:rPr>
      </w:pPr>
      <w:r>
        <w:rPr>
          <w:rFonts w:ascii="Times New Roman" w:hAnsi="Times New Roman"/>
          <w:bCs/>
          <w:sz w:val="24"/>
          <w:szCs w:val="24"/>
        </w:rPr>
        <w:t>Вирусный ринит, воспаление носоглотки, воспалительные заболевания носа, гнойный ринит, заложенность носа, заложенность носа при простуде и гриппе, затруднение носового дыхания, затрудненное носовое дыхание при простудных заболеваниях.</w:t>
      </w:r>
    </w:p>
    <w:p>
      <w:pPr>
        <w:pStyle w:val="para2"/>
        <w:spacing w:line="360" w:lineRule="auto"/>
        <w:jc w:val="both"/>
        <w:rPr>
          <w:rFonts w:ascii="Times New Roman" w:hAnsi="Times New Roman"/>
          <w:bCs/>
          <w:sz w:val="24"/>
          <w:szCs w:val="24"/>
        </w:rPr>
      </w:pPr>
      <w:r>
        <w:rPr>
          <w:rFonts w:ascii="Times New Roman" w:hAnsi="Times New Roman"/>
          <w:bCs/>
          <w:sz w:val="24"/>
          <w:szCs w:val="24"/>
        </w:rPr>
      </w:r>
    </w:p>
    <w:p>
      <w:pPr>
        <w:pStyle w:val="para2"/>
        <w:spacing w:line="360" w:lineRule="auto"/>
        <w:jc w:val="both"/>
        <w:rPr>
          <w:rFonts w:ascii="Times New Roman" w:hAnsi="Times New Roman"/>
          <w:b/>
          <w:bCs/>
          <w:sz w:val="24"/>
          <w:szCs w:val="24"/>
        </w:rPr>
      </w:pPr>
      <w:r>
        <w:rPr>
          <w:rFonts w:ascii="Times New Roman" w:hAnsi="Times New Roman"/>
          <w:b/>
          <w:bCs/>
          <w:sz w:val="24"/>
          <w:szCs w:val="24"/>
        </w:rPr>
        <w:t>Вазомоторный и аллергический ринит</w:t>
      </w:r>
    </w:p>
    <w:p>
      <w:pPr>
        <w:pStyle w:val="para2"/>
        <w:spacing w:line="360" w:lineRule="auto"/>
        <w:jc w:val="both"/>
        <w:rPr>
          <w:rFonts w:ascii="Times New Roman" w:hAnsi="Times New Roman"/>
          <w:bCs/>
          <w:sz w:val="24"/>
          <w:szCs w:val="24"/>
        </w:rPr>
      </w:pPr>
      <w:r>
        <w:rPr>
          <w:rFonts w:ascii="Times New Roman" w:hAnsi="Times New Roman"/>
          <w:bCs/>
          <w:sz w:val="24"/>
          <w:szCs w:val="24"/>
        </w:rPr>
        <w:t>Аллергическая ринопатия, аллергическая риносинусопатия, аллергические респираторные заболевания, аллергический ринит, сезонный аллергический ринит, вазомоторный ринит.</w:t>
      </w:r>
    </w:p>
    <w:p>
      <w:pPr>
        <w:pStyle w:val="para2"/>
        <w:spacing w:line="360" w:lineRule="auto"/>
        <w:jc w:val="both"/>
        <w:rPr>
          <w:rFonts w:ascii="Times New Roman" w:hAnsi="Times New Roman"/>
          <w:bCs/>
          <w:sz w:val="24"/>
          <w:szCs w:val="24"/>
        </w:rPr>
      </w:pPr>
      <w:r>
        <w:rPr>
          <w:rFonts w:ascii="Times New Roman" w:hAnsi="Times New Roman"/>
          <w:bCs/>
          <w:sz w:val="24"/>
          <w:szCs w:val="24"/>
        </w:rPr>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Состав</w:t>
      </w:r>
    </w:p>
    <w:p>
      <w:pPr>
        <w:pStyle w:val="para2"/>
        <w:spacing w:line="360" w:lineRule="auto"/>
        <w:jc w:val="both"/>
        <w:rPr>
          <w:rFonts w:ascii="Times New Roman" w:hAnsi="Times New Roman"/>
          <w:b/>
          <w:bCs/>
          <w:sz w:val="24"/>
          <w:szCs w:val="24"/>
        </w:rPr>
      </w:pPr>
      <w:r>
        <w:rPr>
          <w:rFonts w:ascii="Times New Roman" w:hAnsi="Times New Roman"/>
          <w:b/>
          <w:bCs/>
          <w:sz w:val="24"/>
          <w:szCs w:val="24"/>
        </w:rPr>
        <w:t>Спрей назальный 100 мл</w:t>
      </w:r>
    </w:p>
    <w:p>
      <w:pPr>
        <w:pStyle w:val="para2"/>
        <w:spacing w:line="360" w:lineRule="auto"/>
        <w:jc w:val="both"/>
        <w:rPr>
          <w:rFonts w:ascii="Times New Roman" w:hAnsi="Times New Roman"/>
          <w:bCs/>
          <w:sz w:val="24"/>
          <w:szCs w:val="24"/>
        </w:rPr>
      </w:pPr>
      <w:r>
        <w:rPr>
          <w:rFonts w:ascii="Times New Roman" w:hAnsi="Times New Roman"/>
          <w:bCs/>
          <w:sz w:val="24"/>
          <w:szCs w:val="24"/>
        </w:rPr>
        <w:t xml:space="preserve">Активное вещество: </w:t>
      </w:r>
    </w:p>
    <w:p>
      <w:pPr>
        <w:pStyle w:val="para2"/>
        <w:spacing w:line="360" w:lineRule="auto"/>
        <w:jc w:val="both"/>
        <w:rPr>
          <w:rFonts w:ascii="Times New Roman" w:hAnsi="Times New Roman"/>
          <w:bCs/>
          <w:sz w:val="24"/>
          <w:szCs w:val="24"/>
        </w:rPr>
      </w:pPr>
      <w:r>
        <w:rPr>
          <w:rFonts w:ascii="Times New Roman" w:hAnsi="Times New Roman"/>
          <w:sz w:val="24"/>
          <w:szCs w:val="24"/>
        </w:rPr>
        <w:t>Оксиметазолин гидрохлорид 0,05 г.</w:t>
      </w:r>
      <w:r>
        <w:rPr>
          <w:rFonts w:ascii="Times New Roman" w:hAnsi="Times New Roman"/>
          <w:bCs/>
          <w:sz w:val="24"/>
          <w:szCs w:val="24"/>
        </w:rPr>
      </w:r>
    </w:p>
    <w:p>
      <w:pPr>
        <w:pStyle w:val="para2"/>
        <w:spacing w:line="360" w:lineRule="auto"/>
        <w:jc w:val="both"/>
        <w:rPr>
          <w:rFonts w:ascii="Times New Roman" w:hAnsi="Times New Roman"/>
          <w:bCs/>
          <w:sz w:val="24"/>
          <w:szCs w:val="24"/>
        </w:rPr>
      </w:pPr>
      <w:r>
        <w:rPr>
          <w:rFonts w:ascii="Times New Roman" w:hAnsi="Times New Roman"/>
          <w:bCs/>
          <w:sz w:val="24"/>
          <w:szCs w:val="24"/>
        </w:rPr>
        <w:t>вспомогательные вещества: сорбитол (70% водный раствор) - 5 г; натрия цитрата дигидрат - 0,875 г; тилоксапол - 0,7 г; хлоргексидина диглюконат (20% раствор) - 0,27 г; лимонная кислота безводная - 0,2 г; алоэ вера - 0,1 г; бензалкония хлорид (50% раствор) - 0,04 г; левоментол - 0,015 г; калия ацесульфам - 0,015 г; цинеол - 0,013 г; L-карвон - 0,01 г г; динатрия эдетат - 0,01 г; натрия гидроксид (0,1 М раствор) - до рН 5.4; вода дистиллированная -100 мл</w:t>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Описание</w:t>
      </w:r>
    </w:p>
    <w:p>
      <w:pPr>
        <w:pStyle w:val="para2"/>
        <w:spacing w:line="360" w:lineRule="auto"/>
        <w:jc w:val="both"/>
        <w:rPr>
          <w:rFonts w:ascii="Times New Roman" w:hAnsi="Times New Roman"/>
          <w:bCs/>
          <w:sz w:val="24"/>
          <w:szCs w:val="24"/>
        </w:rPr>
      </w:pPr>
      <w:r>
        <w:rPr>
          <w:rFonts w:ascii="Times New Roman" w:hAnsi="Times New Roman"/>
          <w:bCs/>
          <w:sz w:val="24"/>
          <w:szCs w:val="24"/>
        </w:rPr>
        <w:t>Спрей:  белая или почти белая гелевая суспензия  с характерным запахом.</w:t>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Фармакологические свойства препарата Викс Актив Синекс</w:t>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Способ применения и дозы</w:t>
      </w:r>
    </w:p>
    <w:p>
      <w:pPr>
        <w:pStyle w:val="para2"/>
        <w:spacing w:line="360" w:lineRule="auto"/>
        <w:jc w:val="both"/>
        <w:rPr>
          <w:rFonts w:ascii="Times New Roman" w:hAnsi="Times New Roman"/>
          <w:sz w:val="24"/>
          <w:szCs w:val="24"/>
        </w:rPr>
      </w:pPr>
      <w:r>
        <w:rPr>
          <w:rFonts w:ascii="Times New Roman" w:hAnsi="Times New Roman"/>
          <w:sz w:val="24"/>
          <w:szCs w:val="24"/>
        </w:rPr>
        <w:t>Интраназально</w:t>
      </w:r>
    </w:p>
    <w:p>
      <w:pPr>
        <w:pStyle w:val="para2"/>
        <w:spacing w:line="360" w:lineRule="auto"/>
        <w:jc w:val="both"/>
        <w:rPr>
          <w:rFonts w:ascii="Times New Roman" w:hAnsi="Times New Roman"/>
          <w:sz w:val="24"/>
          <w:szCs w:val="24"/>
        </w:rPr>
      </w:pPr>
      <w:r>
        <w:rPr>
          <w:rFonts w:ascii="Times New Roman" w:hAnsi="Times New Roman"/>
          <w:sz w:val="24"/>
          <w:szCs w:val="24"/>
        </w:rPr>
        <w:t>Взрослым и детям старше 10 лет – по 1-2 впрыскивания в каждый носовой ход 2-3 раза в сутки</w:t>
      </w:r>
    </w:p>
    <w:p>
      <w:pPr>
        <w:pStyle w:val="para2"/>
        <w:spacing w:line="360" w:lineRule="auto"/>
        <w:jc w:val="both"/>
        <w:rPr>
          <w:rFonts w:ascii="Times New Roman" w:hAnsi="Times New Roman"/>
          <w:sz w:val="24"/>
          <w:szCs w:val="24"/>
        </w:rPr>
      </w:pPr>
      <w:r>
        <w:rPr>
          <w:rFonts w:ascii="Times New Roman" w:hAnsi="Times New Roman"/>
          <w:sz w:val="24"/>
          <w:szCs w:val="24"/>
        </w:rPr>
        <w:t>Детям от 6 до 10 лет — по 1 впрыскиванию в каждый носовой ход 2–3 раза в сутки.</w:t>
      </w:r>
    </w:p>
    <w:p>
      <w:pPr>
        <w:pStyle w:val="para2"/>
        <w:spacing w:line="360" w:lineRule="auto"/>
        <w:jc w:val="both"/>
        <w:rPr>
          <w:rFonts w:ascii="Times New Roman" w:hAnsi="Times New Roman"/>
          <w:sz w:val="24"/>
          <w:szCs w:val="24"/>
        </w:rPr>
      </w:pPr>
      <w:r>
        <w:rPr>
          <w:rFonts w:ascii="Times New Roman" w:hAnsi="Times New Roman"/>
          <w:sz w:val="24"/>
          <w:szCs w:val="24"/>
        </w:rPr>
        <w:t xml:space="preserve">Продолжительность лечения: </w:t>
      </w:r>
    </w:p>
    <w:p>
      <w:pPr>
        <w:pStyle w:val="para2"/>
        <w:spacing w:line="360" w:lineRule="auto"/>
        <w:jc w:val="both"/>
        <w:rPr>
          <w:rFonts w:ascii="Times New Roman" w:hAnsi="Times New Roman"/>
          <w:sz w:val="24"/>
          <w:szCs w:val="24"/>
        </w:rPr>
      </w:pPr>
      <w:r>
        <w:rPr>
          <w:rFonts w:ascii="Times New Roman" w:hAnsi="Times New Roman"/>
          <w:sz w:val="24"/>
          <w:szCs w:val="24"/>
        </w:rPr>
        <w:t xml:space="preserve">Не рекомендуется применять препарат более 7 дней. Частое или длительное использовании препарата может вызывать чувство затруднения носового дыхания. </w:t>
      </w:r>
      <w:r>
        <w:rPr>
          <w:rFonts w:ascii="Times New Roman" w:hAnsi="Times New Roman"/>
          <w:color w:val="000000"/>
          <w:sz w:val="24"/>
          <w:szCs w:val="24"/>
        </w:rPr>
        <w:t>При появлении указанных симптомов</w:t>
      </w:r>
      <w:r>
        <w:rPr>
          <w:rFonts w:ascii="Times New Roman" w:hAnsi="Times New Roman"/>
          <w:color w:val="c00000"/>
          <w:sz w:val="24"/>
          <w:szCs w:val="24"/>
        </w:rPr>
        <w:t xml:space="preserve"> </w:t>
      </w:r>
      <w:r>
        <w:rPr>
          <w:rFonts w:ascii="Times New Roman" w:hAnsi="Times New Roman"/>
          <w:sz w:val="24"/>
          <w:szCs w:val="24"/>
        </w:rPr>
        <w:t xml:space="preserve">следует прекратить лечение и обратиться к врачу. </w:t>
      </w:r>
    </w:p>
    <w:p>
      <w:pPr>
        <w:pStyle w:val="para2"/>
        <w:spacing w:line="360" w:lineRule="auto"/>
        <w:jc w:val="both"/>
        <w:rPr>
          <w:rFonts w:ascii="Times New Roman" w:hAnsi="Times New Roman"/>
          <w:b/>
          <w:bCs/>
          <w:sz w:val="24"/>
          <w:szCs w:val="24"/>
          <w:u w:color="auto" w:val="single"/>
        </w:rPr>
      </w:pPr>
      <w:r>
        <w:rPr>
          <w:rFonts w:ascii="Times New Roman" w:hAnsi="Times New Roman"/>
          <w:b/>
          <w:bCs/>
          <w:sz w:val="24"/>
          <w:szCs w:val="24"/>
          <w:u w:color="auto" w:val="single"/>
        </w:rPr>
        <w:t>Передозировка</w:t>
      </w:r>
    </w:p>
    <w:p>
      <w:pPr>
        <w:pStyle w:val="para2"/>
        <w:spacing w:line="360" w:lineRule="auto"/>
        <w:jc w:val="both"/>
        <w:rPr>
          <w:rFonts w:ascii="Times New Roman" w:hAnsi="Times New Roman"/>
          <w:sz w:val="24"/>
          <w:szCs w:val="24"/>
        </w:rPr>
      </w:pPr>
      <w:r>
        <w:rPr>
          <w:rFonts w:ascii="Times New Roman" w:hAnsi="Times New Roman"/>
          <w:sz w:val="24"/>
          <w:szCs w:val="24"/>
        </w:rPr>
        <w:t>Симптомы: рвота, цианоз, лихорадка, тахикардия, аритмии, повышение артериального давления, одышка, психические расстройства, угнетение ЦНС (сонливость, снижение температуры тела, снижение артериального давления, остановка дыхания и кома).</w:t>
      </w:r>
    </w:p>
    <w:p>
      <w:pPr>
        <w:pStyle w:val="para2"/>
        <w:spacing w:line="360" w:lineRule="auto"/>
        <w:jc w:val="both"/>
        <w:rPr>
          <w:rFonts w:ascii="Times New Roman" w:hAnsi="Times New Roman"/>
          <w:sz w:val="24"/>
          <w:szCs w:val="24"/>
        </w:rPr>
      </w:pPr>
      <w:r>
        <w:rPr>
          <w:rFonts w:ascii="Times New Roman" w:hAnsi="Times New Roman"/>
          <w:sz w:val="24"/>
          <w:szCs w:val="24"/>
        </w:rPr>
        <w:t>Лечение: симптоматическое; При случайном проглатывании необходимо промывание желудка, прием активированного угля. Сосудосуживающие препараты противопоказаны.</w:t>
      </w:r>
    </w:p>
    <w:p>
      <w:pPr>
        <w:pStyle w:val="para2"/>
        <w:spacing w:line="360" w:lineRule="auto"/>
        <w:rPr>
          <w:rFonts w:ascii="Times New Roman" w:hAnsi="Times New Roman"/>
          <w:b/>
          <w:bCs/>
          <w:color w:val="000000"/>
          <w:sz w:val="24"/>
          <w:szCs w:val="24"/>
          <w:u w:color="auto" w:val="single"/>
        </w:rPr>
      </w:pPr>
      <w:r>
        <w:rPr>
          <w:rFonts w:ascii="Times New Roman" w:hAnsi="Times New Roman"/>
          <w:b/>
          <w:bCs/>
          <w:color w:val="000000"/>
          <w:sz w:val="24"/>
          <w:szCs w:val="24"/>
          <w:u w:color="auto" w:val="single"/>
        </w:rPr>
        <w:t>Форма выпуска</w:t>
      </w:r>
    </w:p>
    <w:p>
      <w:pPr>
        <w:pStyle w:val="para2"/>
        <w:spacing w:line="360" w:lineRule="auto"/>
        <w:rPr>
          <w:rFonts w:ascii="Times New Roman" w:hAnsi="Times New Roman"/>
          <w:sz w:val="24"/>
          <w:szCs w:val="24"/>
        </w:rPr>
      </w:pPr>
      <w:r>
        <w:rPr>
          <w:rFonts w:ascii="Times New Roman" w:hAnsi="Times New Roman"/>
          <w:sz w:val="24"/>
          <w:szCs w:val="24"/>
        </w:rPr>
        <w:t>Спрей назальный, 0,05 %. По 15 мл во флаконах из темного стекла; по 1 фл. в картонной пачке.</w:t>
      </w:r>
    </w:p>
    <w:p>
      <w:pPr>
        <w:pStyle w:val="para2"/>
        <w:spacing w:line="360" w:lineRule="auto"/>
        <w:rPr>
          <w:rFonts w:ascii="Times New Roman" w:hAnsi="Times New Roman"/>
          <w:b/>
          <w:bCs/>
          <w:sz w:val="24"/>
          <w:szCs w:val="24"/>
          <w:u w:color="auto" w:val="single"/>
        </w:rPr>
      </w:pPr>
      <w:r>
        <w:rPr>
          <w:rFonts w:ascii="Times New Roman" w:hAnsi="Times New Roman"/>
          <w:b/>
          <w:bCs/>
          <w:sz w:val="24"/>
          <w:szCs w:val="24"/>
          <w:u w:color="auto" w:val="single"/>
        </w:rPr>
        <w:t>Условия хранения препарата Викс Актив Синекс</w:t>
      </w:r>
    </w:p>
    <w:p>
      <w:pPr>
        <w:pStyle w:val="para2"/>
        <w:spacing w:line="360" w:lineRule="auto"/>
        <w:rPr>
          <w:rFonts w:ascii="Times New Roman" w:hAnsi="Times New Roman"/>
          <w:sz w:val="24"/>
          <w:szCs w:val="24"/>
        </w:rPr>
      </w:pPr>
      <w:r>
        <w:rPr>
          <w:rFonts w:ascii="Times New Roman" w:hAnsi="Times New Roman"/>
          <w:sz w:val="24"/>
          <w:szCs w:val="24"/>
        </w:rPr>
        <w:t>При температуре не выше 25 °C.</w:t>
      </w:r>
    </w:p>
    <w:p>
      <w:pPr>
        <w:pStyle w:val="para2"/>
        <w:spacing w:line="360" w:lineRule="auto"/>
        <w:rPr>
          <w:rFonts w:ascii="Times New Roman" w:hAnsi="Times New Roman"/>
          <w:sz w:val="24"/>
          <w:szCs w:val="24"/>
        </w:rPr>
      </w:pPr>
      <w:r>
        <w:rPr>
          <w:rFonts w:ascii="Times New Roman" w:hAnsi="Times New Roman"/>
          <w:sz w:val="24"/>
          <w:szCs w:val="24"/>
        </w:rPr>
        <w:t>Хранить в недоступном для детей месте.</w:t>
      </w:r>
    </w:p>
    <w:p>
      <w:pPr>
        <w:pStyle w:val="para2"/>
        <w:spacing w:line="360" w:lineRule="auto"/>
        <w:rPr>
          <w:rFonts w:ascii="Times New Roman" w:hAnsi="Times New Roman"/>
          <w:b/>
          <w:bCs/>
          <w:sz w:val="24"/>
          <w:szCs w:val="24"/>
          <w:u w:color="auto" w:val="single"/>
        </w:rPr>
      </w:pPr>
      <w:r>
        <w:rPr>
          <w:rFonts w:ascii="Times New Roman" w:hAnsi="Times New Roman"/>
          <w:b/>
          <w:bCs/>
          <w:sz w:val="24"/>
          <w:szCs w:val="24"/>
          <w:u w:color="auto" w:val="single"/>
        </w:rPr>
        <w:t>Срок годности препарата Викс Актив Синекс</w:t>
      </w:r>
    </w:p>
    <w:p>
      <w:pPr>
        <w:pStyle w:val="para2"/>
        <w:spacing w:line="360" w:lineRule="auto"/>
        <w:rPr>
          <w:rFonts w:ascii="Times New Roman" w:hAnsi="Times New Roman"/>
          <w:sz w:val="24"/>
          <w:szCs w:val="24"/>
        </w:rPr>
      </w:pPr>
      <w:r>
        <w:rPr>
          <w:rFonts w:ascii="Times New Roman" w:hAnsi="Times New Roman"/>
          <w:sz w:val="24"/>
          <w:szCs w:val="24"/>
        </w:rPr>
        <w:t>3 года.</w:t>
      </w:r>
    </w:p>
    <w:p>
      <w:pPr>
        <w:pStyle w:val="para2"/>
        <w:spacing w:line="360" w:lineRule="auto"/>
        <w:rPr>
          <w:rFonts w:ascii="Times New Roman" w:hAnsi="Times New Roman"/>
          <w:sz w:val="24"/>
          <w:szCs w:val="24"/>
        </w:rPr>
      </w:pPr>
      <w:r>
        <w:rPr>
          <w:rFonts w:ascii="Times New Roman" w:hAnsi="Times New Roman"/>
          <w:sz w:val="24"/>
          <w:szCs w:val="24"/>
        </w:rPr>
        <w:t>Не применять по истечении срока годности, указанного на упаковке.</w:t>
      </w:r>
    </w:p>
    <w:p>
      <w:pPr>
        <w:pStyle w:val="para2"/>
        <w:spacing w:line="360" w:lineRule="auto"/>
        <w:rPr>
          <w:rFonts w:ascii="Times New Roman" w:hAnsi="Times New Roman"/>
          <w:sz w:val="24"/>
          <w:szCs w:val="24"/>
        </w:rPr>
      </w:pPr>
      <w:r>
        <w:rPr>
          <w:rFonts w:ascii="Times New Roman" w:hAnsi="Times New Roman"/>
          <w:sz w:val="24"/>
          <w:szCs w:val="24"/>
        </w:rPr>
        <w:t>Препарат разрешен к применению в качестве средства безрецептурного отпуска.</w:t>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r>
    </w:p>
    <w:p>
      <w:pPr>
        <w:pStyle w:val="para2"/>
        <w:spacing w:line="360" w:lineRule="auto"/>
        <w:rPr>
          <w:rFonts w:ascii="Times New Roman" w:hAnsi="Times New Roman"/>
          <w:sz w:val="24"/>
          <w:szCs w:val="24"/>
        </w:rPr>
      </w:pPr>
      <w:r>
        <w:rPr>
          <w:rFonts w:ascii="Times New Roman" w:hAnsi="Times New Roman"/>
          <w:sz w:val="24"/>
          <w:szCs w:val="24"/>
        </w:rPr>
        <w:t>Оригинал:</w:t>
      </w:r>
    </w:p>
    <w:p>
      <w:pPr>
        <w:pStyle w:val="para3"/>
        <w:spacing w:before="400" w:after="200" w:line="264"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olor w:val="333333"/>
          <w:sz w:val="24"/>
          <w:szCs w:val="24"/>
        </w:rPr>
      </w:pPr>
      <w:r>
        <w:rPr>
          <w:rFonts w:ascii="Times New Roman" w:hAnsi="Times New Roman"/>
          <w:color w:val="333333"/>
          <w:sz w:val="24"/>
          <w:szCs w:val="24"/>
        </w:rPr>
        <w:t>Instruction for use: Vicks Active Sinex</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ATX code R01AA05 Oxymetazoline</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Pharmacotherapeutic group:</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Decongestant agent - alpha-agonists [alpha agonists]</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Decongestant agent - alpha-agonists [decongestant]</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The nosological classification (ICD-10)</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u w:color="auto" w:val="none"/>
          <w:lang w:val="ru-ru" w:bidi="ar-sa"/>
        </w:rPr>
      </w:pPr>
      <w:r>
        <w:rPr>
          <w:rStyle w:val="char1"/>
          <w:rFonts w:ascii="Times New Roman" w:hAnsi="Times New Roman" w:eastAsia="SimSun" w:cs="Arial"/>
          <w:b/>
          <w:bCs/>
          <w:color w:val="333333"/>
          <w:kern w:val="1"/>
          <w:sz w:val="24"/>
          <w:szCs w:val="24"/>
          <w:u w:color="auto" w:val="none"/>
          <w:lang w:val="ru-ru" w:bidi="ar-sa"/>
        </w:rPr>
        <w:t>Acute nasopharyngitis [runny nose]</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Viral rhinitis, Inflammation of the nasopharynx, Inflammatory diseases of the nose, purulent rhinitis, Nasal congestion, Nasal congestion with colds and flu, The difficulty of nasal breathing, The difficulty of nasal breathing for colds.</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u w:color="auto" w:val="none"/>
          <w:lang w:val="ru-ru" w:bidi="ar-sa"/>
        </w:rPr>
      </w:pPr>
      <w:r>
        <w:rPr>
          <w:rStyle w:val="char1"/>
          <w:rFonts w:ascii="Times New Roman" w:hAnsi="Times New Roman" w:eastAsia="SimSun" w:cs="Arial"/>
          <w:b/>
          <w:bCs/>
          <w:color w:val="333333"/>
          <w:kern w:val="1"/>
          <w:sz w:val="24"/>
          <w:szCs w:val="24"/>
          <w:u w:color="auto" w:val="none"/>
          <w:lang w:val="ru-ru" w:bidi="ar-sa"/>
        </w:rPr>
        <w:t>Vasomotor and allergic rhinitis</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Allergic rinopatiya, Allergic rhinosinusopathy, Allergic respiratory diseases, Allergic rhinitis, nasal allergy, Seasonal Allergic Rhinitis, Vasomotor rhinitis.</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Composition</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u w:color="auto" w:val="none"/>
          <w:lang w:val="ru-ru" w:bidi="ar-sa"/>
        </w:rPr>
      </w:pPr>
      <w:r>
        <w:rPr>
          <w:rStyle w:val="char1"/>
          <w:rFonts w:ascii="Times New Roman" w:hAnsi="Times New Roman" w:eastAsia="SimSun" w:cs="Arial"/>
          <w:b/>
          <w:bCs/>
          <w:color w:val="333333"/>
          <w:kern w:val="1"/>
          <w:sz w:val="24"/>
          <w:szCs w:val="24"/>
          <w:u w:color="auto" w:val="none"/>
          <w:lang w:val="ru-ru" w:bidi="ar-sa"/>
        </w:rPr>
        <w:t>Nasal Spray 100 ml</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active substance:</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oxymetazoline hydrochloride 0.05 g</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excipients: sorbitol (70% aqueous solution) - 5 g; Sodium citrate dihydrate - 0.875 g; tyloxapol - 0.7 g; Chlorhexidine digluconate (20% solution) - 0.27 g; anhydrous citric acid - 0.2 g; Aloe Vera - 0.1 g; benzalkonium chloride (50% solution) - 0.04 g; levomenthol - 0,015 g; acesulfame potassium - 0,015 g; cineole - 0.013 g; L-carvone - 0.01 g; disodium edetate - 0.01 g; sodium hydroxide (0.1 M solution) - up to pH 5.4; distilled water - 100 ml</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Description</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Spray: white or almost white gel suspension with a characteristic odor.</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Dosage and Administration</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Intranasal.</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Adults and children over 10 years - 1-2 injections in each nostril maximum 2-3 times daily.</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Children from 6 to 10 years - 1 injection in each nostril maximum 2-3 times daily.</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 xml:space="preserve">Duration of treatment is not recommended to use the drug for more than 7 days. Frequent or prolonged use of the drug sense of difficulty in nasal breathing may reappear or worsen. should stop treatment and seek medical attention if these symptoms. </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Overdose</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Symptoms: vomiting, cyanosis, fever, tachycardia, arrhythmias, increased blood pressure, shortness of breath, mental disorders, CNS depression (drowsiness, decrease in body temperature, bradycardia, decreased blood pressure, respiration and coma stop).</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Treatment: symptomatic; Accidental ingestion - gastric lavage, activated charcoal. Vasopressor drugs are contraindicated.</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release Form</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Nasal Spray 0.05%. In 15 ml amber glass vials; 1 fl. in a cardboard bundle.</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bCs/>
          <w:color w:val="333333"/>
          <w:kern w:val="1"/>
          <w:sz w:val="24"/>
          <w:szCs w:val="24"/>
          <w:lang w:val="ru-ru" w:bidi="ar-sa"/>
        </w:rPr>
        <w:t>Storage conditions of Vicks Active Sinex</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The temperature is not higher than 25 ° C.</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bCs/>
          <w:color w:val="333333"/>
          <w:kern w:val="1"/>
          <w:sz w:val="24"/>
          <w:szCs w:val="24"/>
          <w:lang w:val="ru-ru" w:bidi="ar-sa"/>
        </w:rPr>
      </w:pPr>
      <w:r>
        <w:rPr>
          <w:rStyle w:val="char1"/>
          <w:rFonts w:ascii="Times New Roman" w:hAnsi="Times New Roman" w:eastAsia="SimSun" w:cs="Arial"/>
          <w:b w:val="0"/>
          <w:bCs/>
          <w:color w:val="333333"/>
          <w:kern w:val="1"/>
          <w:sz w:val="24"/>
          <w:szCs w:val="24"/>
          <w:u w:color="auto" w:val="none"/>
          <w:lang w:val="ru-ru" w:bidi="ar-sa"/>
        </w:rPr>
        <w:t>Keep out of the reach of children.</w:t>
        <w:br w:type="textWrapping"/>
      </w:r>
      <w:r>
        <w:rPr>
          <w:rStyle w:val="char1"/>
          <w:rFonts w:ascii="Times New Roman" w:hAnsi="Times New Roman" w:eastAsia="SimSun" w:cs="Arial"/>
          <w:b/>
          <w:bCs/>
          <w:color w:val="333333"/>
          <w:kern w:val="1"/>
          <w:sz w:val="24"/>
          <w:szCs w:val="24"/>
          <w:lang w:val="ru-ru" w:bidi="ar-sa"/>
        </w:rPr>
        <w:t>Shelf life of Vicks Active Sinex</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3 years.</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Do not use beyond the expiration date printed on the package.</w:t>
      </w:r>
    </w:p>
    <w:p>
      <w:pPr>
        <w:spacing w:after="0" w:line="240" w:lineRule="auto"/>
        <w:keepNext/>
        <w:outlineLvl w:val="2"/>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SimSun" w:cs="Arial"/>
          <w:b w:val="0"/>
          <w:bCs/>
          <w:color w:val="333333"/>
          <w:kern w:val="1"/>
          <w:sz w:val="24"/>
          <w:szCs w:val="24"/>
          <w:u w:color="auto" w:val="none"/>
          <w:lang w:val="ru-ru" w:bidi="ar-sa"/>
        </w:rPr>
      </w:pPr>
      <w:r>
        <w:rPr>
          <w:rStyle w:val="char1"/>
          <w:rFonts w:ascii="Times New Roman" w:hAnsi="Times New Roman" w:eastAsia="SimSun" w:cs="Arial"/>
          <w:b w:val="0"/>
          <w:bCs/>
          <w:color w:val="333333"/>
          <w:kern w:val="1"/>
          <w:sz w:val="24"/>
          <w:szCs w:val="24"/>
          <w:u w:color="auto" w:val="none"/>
          <w:lang w:val="ru-ru" w:bidi="ar-sa"/>
        </w:rPr>
        <w:t>Available without prescription.</w:t>
      </w:r>
    </w:p>
    <w:sectPr>
      <w:footnotePr>
        <w:pos w:val="pageBottom"/>
        <w:numFmt w:val="decimal"/>
        <w:numStart w:val="1"/>
        <w:numRestart w:val="continuous"/>
      </w:footnotePr>
      <w:endnotePr>
        <w:pos w:val="docEnd"/>
        <w:numFmt w:val="decimal"/>
        <w:numStart w:val="1"/>
        <w:numRestart w:val="continuous"/>
      </w:endnotePr>
      <w:type w:val="nextPage"/>
      <w:pgSz w:h="16838" w:w="11906"/>
      <w:pgMar w:left="1276" w:top="851" w:right="850" w:bottom="993"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2">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ный список 3"/>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19"/>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54"/>
      <w:tmLastPosIdx w:val="0"/>
    </w:tmLastPosCaret>
    <w:tmLastPosAnchor>
      <w:tmLastPosPgfIdx w:val="0"/>
      <w:tmLastPosIdx w:val="0"/>
    </w:tmLastPosAnchor>
    <w:tmLastPosTblRect w:left="0" w:top="0" w:right="0" w:bottom="0"/>
  </w:tmLastPos>
  <w:tmAppRevision w:date="1632323546"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 Spacing"/>
    <w:qFormat/>
    <w:pPr>
      <w:spacing w:after="0" w:line="240" w:lineRule="auto"/>
    </w:pPr>
    <w:rPr>
      <w:rFonts w:ascii="Calibri" w:hAnsi="Calibri" w:eastAsia="Calibri"/>
      <w:sz w:val="22"/>
      <w:szCs w:val="22"/>
      <w:lang w:val="ru-ru" w:bidi="ar-sa"/>
    </w:rPr>
  </w:style>
  <w:style w:type="paragraph" w:styleId="para3">
    <w:name w:val="heading 3"/>
    <w:qFormat/>
    <w:basedOn w:val="para4"/>
    <w:next w:val="para0"/>
    <w:pPr>
      <w:outlineLvl w:val="2"/>
    </w:pPr>
    <w:rPr>
      <w:sz w:val="28"/>
      <w:szCs w:val="28"/>
    </w:rPr>
    <w:key w:val="1075"/>
  </w:style>
  <w:style w:type="paragraph" w:styleId="para4">
    <w:name w:val="heading 2"/>
    <w:qFormat/>
    <w:basedOn w:val="para5"/>
    <w:next w:val="para0"/>
    <w:pPr>
      <w:outlineLvl w:val="1"/>
    </w:pPr>
    <w:rPr>
      <w:sz w:val="32"/>
      <w:szCs w:val="32"/>
    </w:rPr>
    <w:key w:val="1074"/>
  </w:style>
  <w:style w:type="paragraph" w:styleId="para5">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lang w:val="ru-ru" w:bidi="ar-sa"/>
    </w:rPr>
    <w:key w:val="1073"/>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 Spacing"/>
    <w:qFormat/>
    <w:pPr>
      <w:spacing w:after="0" w:line="240" w:lineRule="auto"/>
    </w:pPr>
    <w:rPr>
      <w:rFonts w:ascii="Calibri" w:hAnsi="Calibri" w:eastAsia="Calibri"/>
      <w:sz w:val="22"/>
      <w:szCs w:val="22"/>
      <w:lang w:val="ru-ru" w:bidi="ar-sa"/>
    </w:rPr>
  </w:style>
  <w:style w:type="paragraph" w:styleId="para3">
    <w:name w:val="heading 3"/>
    <w:qFormat/>
    <w:basedOn w:val="para4"/>
    <w:next w:val="para0"/>
    <w:pPr>
      <w:outlineLvl w:val="2"/>
    </w:pPr>
    <w:rPr>
      <w:sz w:val="28"/>
      <w:szCs w:val="28"/>
    </w:rPr>
    <w:key w:val="1075"/>
  </w:style>
  <w:style w:type="paragraph" w:styleId="para4">
    <w:name w:val="heading 2"/>
    <w:qFormat/>
    <w:basedOn w:val="para5"/>
    <w:next w:val="para0"/>
    <w:pPr>
      <w:outlineLvl w:val="1"/>
    </w:pPr>
    <w:rPr>
      <w:sz w:val="32"/>
      <w:szCs w:val="32"/>
    </w:rPr>
    <w:key w:val="1074"/>
  </w:style>
  <w:style w:type="paragraph" w:styleId="para5">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lang w:val="ru-ru" w:bidi="ar-sa"/>
    </w:rPr>
    <w:key w:val="1073"/>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www.rlsnet.ru/fg_index_id_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
  <cp:revision>19</cp:revision>
  <dcterms:created xsi:type="dcterms:W3CDTF">2019-04-16T18:00:00Z</dcterms:created>
  <dcterms:modified xsi:type="dcterms:W3CDTF">2021-09-22T15:12:26Z</dcterms:modified>
</cp:coreProperties>
</file>