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0"/>
        <w:gridCol w:w="2460"/>
        <w:gridCol w:w="5790"/>
        <w:tblGridChange w:id="0">
          <w:tblGrid>
            <w:gridCol w:w="1400"/>
            <w:gridCol w:w="2460"/>
            <w:gridCol w:w="5790"/>
          </w:tblGrid>
        </w:tblGridChange>
      </w:tblGrid>
      <w:t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100" w:lineRule="auto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drawing>
                <wp:inline distB="114300" distT="114300" distL="114300" distR="114300">
                  <wp:extent cx="2271355" cy="1507875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355" cy="1507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sz w:val="50"/>
                <w:szCs w:val="50"/>
                <w:rtl w:val="0"/>
              </w:rPr>
              <w:t xml:space="preserve">Маркевич Станислав 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Мужчина, 27 лет, родился 13 августа 1989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+1 (347) 3011320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hyperlink r:id="rId6">
              <w:r w:rsidDel="00000000" w:rsidR="00000000" w:rsidRPr="00000000">
                <w:rPr>
                  <w:smallCaps w:val="0"/>
                  <w:sz w:val="18"/>
                  <w:szCs w:val="18"/>
                  <w:u w:val="single"/>
                  <w:rtl w:val="0"/>
                </w:rPr>
                <w:t xml:space="preserve">wannabeahead@gmail.com</w:t>
              </w:r>
            </w:hyperlink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color w:val="aeaeae"/>
                <w:sz w:val="18"/>
                <w:szCs w:val="18"/>
                <w:rtl w:val="0"/>
              </w:rPr>
              <w:t xml:space="preserve">— предпочитаемый способ связи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Проживает: США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Гражданство: Россия, есть разрешение на работу: Россия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Не готов к переезду, не готов к командировкам</w:t>
            </w:r>
          </w:p>
        </w:tc>
      </w:tr>
      <w:tr>
        <w:tc>
          <w:tcPr>
            <w:gridSpan w:val="3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50" w:before="50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22"/>
                <w:szCs w:val="22"/>
                <w:rtl w:val="0"/>
              </w:rPr>
              <w:t xml:space="preserve">Желаемая должность и зарплата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Лингвист-переводчик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Административный персонал</w:t>
            </w:r>
          </w:p>
          <w:p w:rsidR="00000000" w:rsidDel="00000000" w:rsidP="00000000" w:rsidRDefault="00000000" w:rsidRPr="00000000">
            <w:pPr>
              <w:spacing w:line="260" w:lineRule="auto"/>
              <w:ind w:left="300" w:firstLine="0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• Последовательный перевод</w:t>
            </w:r>
          </w:p>
          <w:p w:rsidR="00000000" w:rsidDel="00000000" w:rsidP="00000000" w:rsidRDefault="00000000" w:rsidRPr="00000000">
            <w:pPr>
              <w:spacing w:line="260" w:lineRule="auto"/>
              <w:ind w:left="300" w:firstLine="0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• Синхронный перевод</w:t>
            </w:r>
          </w:p>
          <w:p w:rsidR="00000000" w:rsidDel="00000000" w:rsidP="00000000" w:rsidRDefault="00000000" w:rsidRPr="00000000">
            <w:pPr>
              <w:spacing w:line="260" w:lineRule="auto"/>
              <w:ind w:left="3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Занятость: частичная занятость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График работы: удаленная работа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br w:type="textWrapping"/>
              <w:t xml:space="preserve">Желательное время в пути до работы: не имеет значения</w:t>
            </w:r>
          </w:p>
        </w:tc>
      </w:tr>
      <w:tr>
        <w:tc>
          <w:tcPr>
            <w:gridSpan w:val="3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50" w:before="50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22"/>
                <w:szCs w:val="22"/>
                <w:rtl w:val="0"/>
              </w:rPr>
              <w:t xml:space="preserve">Опыт работы —7 лет 1 месяц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Январь 2014 — настоящее время</w:t>
              <w:br w:type="textWrapping"/>
              <w:t xml:space="preserve">3 года 1 месяц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9.99999999999994" w:lineRule="auto"/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http://agtc.ru/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18"/>
                <w:szCs w:val="18"/>
                <w:rtl w:val="0"/>
              </w:rPr>
              <w:t xml:space="preserve">Москва, trans.agtc.ru/</w:t>
            </w:r>
          </w:p>
          <w:p w:rsidR="00000000" w:rsidDel="00000000" w:rsidP="00000000" w:rsidRDefault="00000000" w:rsidRPr="00000000">
            <w:pPr>
              <w:spacing w:after="60" w:before="60" w:line="279.99999999999994" w:lineRule="auto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Внештатный переводчик</w:t>
            </w:r>
          </w:p>
          <w:p w:rsidR="00000000" w:rsidDel="00000000" w:rsidP="00000000" w:rsidRDefault="00000000" w:rsidRPr="00000000">
            <w:pPr>
              <w:spacing w:after="60"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Внештатный устный и письменный переводчик. Юридический перевод, литературный перевод, работа на переговорах. Работа в CAT "Memsource". Исполнение срочных и сверхсрочных заказов.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Январь 2010 — настоящее время</w:t>
              <w:br w:type="textWrapping"/>
              <w:t xml:space="preserve">7 лет 1 месяц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5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79.99999999999994" w:lineRule="auto"/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Индивидуальное предпринимательство / частная практика / фриланс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18"/>
                <w:szCs w:val="18"/>
                <w:rtl w:val="0"/>
              </w:rPr>
              <w:t xml:space="preserve">Москва</w:t>
            </w:r>
          </w:p>
          <w:p w:rsidR="00000000" w:rsidDel="00000000" w:rsidP="00000000" w:rsidRDefault="00000000" w:rsidRPr="00000000">
            <w:pPr>
              <w:spacing w:after="60" w:before="60" w:line="279.99999999999994" w:lineRule="auto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Переводчик</w:t>
            </w:r>
          </w:p>
          <w:p w:rsidR="00000000" w:rsidDel="00000000" w:rsidP="00000000" w:rsidRDefault="00000000" w:rsidRPr="00000000">
            <w:pPr>
              <w:spacing w:after="60"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Работа письменным и устным переводчиком. Тематики: юридическая, спорт, авто-мото, литературный перевод, музыка.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Январь 2010 — настоящее время</w:t>
              <w:br w:type="textWrapping"/>
              <w:t xml:space="preserve">7 лет 1 месяц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5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79.99999999999994" w:lineRule="auto"/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KVM-design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18"/>
                <w:szCs w:val="18"/>
                <w:rtl w:val="0"/>
              </w:rPr>
              <w:t xml:space="preserve">Москва, www.kvm-d.ru/</w:t>
            </w:r>
          </w:p>
          <w:p w:rsidR="00000000" w:rsidDel="00000000" w:rsidP="00000000" w:rsidRDefault="00000000" w:rsidRPr="00000000">
            <w:pPr>
              <w:spacing w:after="60" w:before="60" w:line="279.99999999999994" w:lineRule="auto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Переводчик</w:t>
            </w:r>
          </w:p>
          <w:p w:rsidR="00000000" w:rsidDel="00000000" w:rsidP="00000000" w:rsidRDefault="00000000" w:rsidRPr="00000000">
            <w:pPr>
              <w:spacing w:after="60"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Перевод сайтов различной направленности - медицинские компании, автозапчасти, туристические агентства и.т.д.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Январь 2011 — Февраль 2014</w:t>
              <w:br w:type="textWrapping"/>
              <w:t xml:space="preserve">3 года 2 месяца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5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79.99999999999994" w:lineRule="auto"/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БП "Лингвист"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18"/>
                <w:szCs w:val="18"/>
                <w:rtl w:val="0"/>
              </w:rPr>
              <w:t xml:space="preserve">Москва, www.bplingvist.ru/</w:t>
            </w:r>
          </w:p>
          <w:p w:rsidR="00000000" w:rsidDel="00000000" w:rsidP="00000000" w:rsidRDefault="00000000" w:rsidRPr="00000000">
            <w:pPr>
              <w:spacing w:after="60" w:before="60" w:line="279.99999999999994" w:lineRule="auto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Внештатный переводчик</w:t>
            </w:r>
          </w:p>
          <w:p w:rsidR="00000000" w:rsidDel="00000000" w:rsidP="00000000" w:rsidRDefault="00000000" w:rsidRPr="00000000">
            <w:pPr>
              <w:spacing w:after="60"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Внештатный устный и письменный переводчик. Работал на переговорах в ФМС (в том числе на переговорах главы ФМС и на крупных международных конференциях), в судах. Выполнял письменные переводы.</w:t>
            </w:r>
          </w:p>
        </w:tc>
      </w:tr>
      <w:tr>
        <w:tc>
          <w:tcPr>
            <w:gridSpan w:val="3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50" w:before="50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22"/>
                <w:szCs w:val="22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Высшее</w:t>
            </w:r>
          </w:p>
        </w:tc>
      </w:tr>
      <w:t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2011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79.99999999999994" w:lineRule="auto"/>
              <w:contextualSpacing w:val="0"/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Российский государственный социальный университет, Москва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Факультет иностранных языков, Перевод и переводоведение</w:t>
            </w:r>
          </w:p>
        </w:tc>
      </w:tr>
      <w:tr>
        <w:tc>
          <w:tcPr>
            <w:gridSpan w:val="3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50" w:before="50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22"/>
                <w:szCs w:val="22"/>
                <w:rtl w:val="0"/>
              </w:rPr>
              <w:t xml:space="preserve">Ключевые навыки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Знание языков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Русский </w:t>
            </w:r>
            <w:r w:rsidDel="00000000" w:rsidR="00000000" w:rsidRPr="00000000">
              <w:rPr>
                <w:smallCaps w:val="0"/>
                <w:color w:val="aeaeae"/>
                <w:sz w:val="18"/>
                <w:szCs w:val="18"/>
                <w:rtl w:val="0"/>
              </w:rPr>
              <w:t xml:space="preserve">— родной</w:t>
            </w:r>
          </w:p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Английский </w:t>
            </w:r>
            <w:r w:rsidDel="00000000" w:rsidR="00000000" w:rsidRPr="00000000">
              <w:rPr>
                <w:smallCaps w:val="0"/>
                <w:color w:val="aeaeae"/>
                <w:sz w:val="18"/>
                <w:szCs w:val="18"/>
                <w:rtl w:val="0"/>
              </w:rPr>
              <w:t xml:space="preserve">— свободно владею</w:t>
            </w:r>
          </w:p>
        </w:tc>
      </w:tr>
      <w:t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Навыки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before="250"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Устный перевод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Перевод юридической документации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Перевод договоров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Ведение переписки на иностранном языке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Перевод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Последовательный перевод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перевод финансовой документации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Английский язык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Деловая переписка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Ведение переговоров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Пользователь ПК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Редактирование текстов на иностранном языке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Письменный перевод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Перевод художественной литературы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перевод статей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Работа в команде</w:t>
            </w:r>
          </w:p>
        </w:tc>
      </w:tr>
      <w:tr>
        <w:tc>
          <w:tcPr>
            <w:gridSpan w:val="3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150" w:before="500" w:lineRule="auto"/>
              <w:contextualSpacing w:val="0"/>
            </w:pPr>
            <w:r w:rsidDel="00000000" w:rsidR="00000000" w:rsidRPr="00000000">
              <w:rPr>
                <w:smallCaps w:val="0"/>
                <w:color w:val="aeaeae"/>
                <w:sz w:val="22"/>
                <w:szCs w:val="22"/>
                <w:rtl w:val="0"/>
              </w:rPr>
              <w:t xml:space="preserve">Дополнительная информация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mallCaps w:val="0"/>
                <w:color w:val="707070"/>
                <w:sz w:val="16"/>
                <w:szCs w:val="16"/>
                <w:rtl w:val="0"/>
              </w:rPr>
              <w:t xml:space="preserve">Обо мне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60" w:lineRule="auto"/>
              <w:contextualSpacing w:val="0"/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За годы переводческой деятельности я накопил богатый опыт: работал, к примеру, на переговорах с участием европейских послов, семинарах по парикмахерскому искусству и судебных заседаниях. </w:t>
              <w:br w:type="textWrapping"/>
              <w:br w:type="textWrapping"/>
              <w:t xml:space="preserve">В мою пользу говорят высокие темпы работы (разумеется, без потери качества), владение CAT (Memsource), хорошее понимание стилистики и постоянное желание учиться и расширять кругозор.</w:t>
              <w:br w:type="textWrapping"/>
              <w:br w:type="textWrapping"/>
              <w:t xml:space="preserve">Сейчас я живу в Нью-Йорке, а значит, могу дополнительно консультироваться с носителями языка, чтобы избежать стилистических неточностей.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mallCaps w:val="0"/>
        <w:color w:val="bcbcbc"/>
        <w:sz w:val="16"/>
        <w:szCs w:val="16"/>
        <w:rtl w:val="0"/>
      </w:rPr>
      <w:t xml:space="preserve">Маркевич Станислав  •  Резюме обновлено 29 января 2017 в 04:49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wannabeahead@gmail.com" TargetMode="External"/><Relationship Id="rId7" Type="http://schemas.openxmlformats.org/officeDocument/2006/relationships/footer" Target="footer1.xml"/></Relationships>
</file>