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5"/>
        <w:tblW w:w="0" w:type="auto"/>
        <w:tblLook w:val="04A0" w:firstRow="1" w:lastRow="0" w:firstColumn="1" w:lastColumn="0" w:noHBand="0" w:noVBand="1"/>
      </w:tblPr>
      <w:tblGrid>
        <w:gridCol w:w="4672"/>
        <w:gridCol w:w="4673"/>
      </w:tblGrid>
      <w:tr w:rsidR="00944405" w14:paraId="5399D9A1" w14:textId="77777777" w:rsidTr="00944405">
        <w:tc>
          <w:tcPr>
            <w:tcW w:w="4672" w:type="dxa"/>
          </w:tcPr>
          <w:p w14:paraId="340EE201" w14:textId="77777777" w:rsidR="00944405" w:rsidRDefault="002740B6" w:rsidP="00944405">
            <w:pPr>
              <w:ind w:firstLine="0"/>
            </w:pPr>
            <w:r w:rsidRPr="005E6FAD">
              <w:rPr>
                <w:lang w:val="en-US"/>
              </w:rPr>
              <w:t>Source</w:t>
            </w:r>
            <w:r w:rsidRPr="00EB1D3E">
              <w:rPr>
                <w:lang w:val="en-US"/>
              </w:rPr>
              <w:t xml:space="preserve"> </w:t>
            </w:r>
            <w:r w:rsidRPr="005E6FAD">
              <w:rPr>
                <w:lang w:val="en-US"/>
              </w:rPr>
              <w:t>Language</w:t>
            </w:r>
            <w:r w:rsidR="005E6FAD">
              <w:rPr>
                <w:lang w:val="en-US"/>
              </w:rPr>
              <w:t xml:space="preserve"> -</w:t>
            </w:r>
            <w:r w:rsidRPr="00EB1D3E">
              <w:rPr>
                <w:lang w:val="en-US"/>
              </w:rPr>
              <w:t xml:space="preserve"> Greek</w:t>
            </w:r>
          </w:p>
        </w:tc>
        <w:tc>
          <w:tcPr>
            <w:tcW w:w="4673" w:type="dxa"/>
          </w:tcPr>
          <w:p w14:paraId="3A010140" w14:textId="77777777" w:rsidR="00944405" w:rsidRDefault="002740B6" w:rsidP="00944405">
            <w:pPr>
              <w:ind w:firstLine="0"/>
            </w:pPr>
            <w:r w:rsidRPr="005E6FAD">
              <w:rPr>
                <w:lang w:val="en-US"/>
              </w:rPr>
              <w:t>Target  Language</w:t>
            </w:r>
            <w:r w:rsidR="005E6FAD">
              <w:rPr>
                <w:lang w:val="en-US"/>
              </w:rPr>
              <w:t xml:space="preserve"> – Russian </w:t>
            </w:r>
          </w:p>
        </w:tc>
      </w:tr>
      <w:tr w:rsidR="005E6FAD" w14:paraId="5E8A05C1" w14:textId="77777777" w:rsidTr="00944405">
        <w:tc>
          <w:tcPr>
            <w:tcW w:w="4672" w:type="dxa"/>
          </w:tcPr>
          <w:p w14:paraId="503EC61C" w14:textId="77777777" w:rsidR="005E6FAD" w:rsidRPr="005E6FAD" w:rsidRDefault="005E6FAD" w:rsidP="005E6FAD">
            <w:pPr>
              <w:pStyle w:val="a8"/>
              <w:numPr>
                <w:ilvl w:val="1"/>
                <w:numId w:val="1"/>
              </w:numPr>
              <w:tabs>
                <w:tab w:val="left" w:pos="1021"/>
              </w:tabs>
              <w:ind w:left="454" w:right="107" w:hanging="397"/>
              <w:jc w:val="both"/>
              <w:rPr>
                <w:rFonts w:ascii="Times New Roman" w:hAnsi="Times New Roman" w:cs="Times New Roman"/>
              </w:rPr>
            </w:pPr>
            <w:r w:rsidRPr="005E6FAD">
              <w:rPr>
                <w:rFonts w:ascii="Times New Roman" w:hAnsi="Times New Roman" w:cs="Times New Roman"/>
              </w:rPr>
              <w:t xml:space="preserve">Να προβλεφθούν μέτρα για την αποφυγή φωτορύπανσης (π.χ. πρόνοιες για δυνατότητα προσαρμογής του φωτισμού (από έντονο σε αμυδρό ή απενεργοποίηση του φωτισμού όταν δεν απαιτείται, δυνατότητα παροχής άμεσου φωτισμού σε περιπτώσεις έκτακτης ανάγκης ή ανάγκης επαναλειτουργίας του φωτισμού, κλπ), κατάλληλη χρήση του σταθερού ή κατευθυνόμενου φωτισμού, χρήση ενεργειακά αποδοτικών λαμπτήρων και προβολέων, χρήση ελάχιστου έντονου φωτισμού, κλπ.). </w:t>
            </w:r>
            <w:r w:rsidRPr="005E6FAD">
              <w:rPr>
                <w:rFonts w:ascii="Times New Roman" w:hAnsi="Times New Roman" w:cs="Times New Roman"/>
                <w:b/>
              </w:rPr>
              <w:t>Ο όρος αυτός είναι</w:t>
            </w:r>
            <w:r w:rsidRPr="005E6FAD">
              <w:rPr>
                <w:rFonts w:ascii="Times New Roman" w:hAnsi="Times New Roman" w:cs="Times New Roman"/>
                <w:b/>
                <w:spacing w:val="-17"/>
              </w:rPr>
              <w:t xml:space="preserve"> </w:t>
            </w:r>
            <w:r w:rsidRPr="005E6FAD">
              <w:rPr>
                <w:rFonts w:ascii="Times New Roman" w:hAnsi="Times New Roman" w:cs="Times New Roman"/>
                <w:b/>
              </w:rPr>
              <w:t>ουσιώδης</w:t>
            </w:r>
            <w:r w:rsidRPr="005E6FAD">
              <w:rPr>
                <w:rFonts w:ascii="Times New Roman" w:hAnsi="Times New Roman" w:cs="Times New Roman"/>
              </w:rPr>
              <w:t>.</w:t>
            </w:r>
          </w:p>
          <w:p w14:paraId="13430B19" w14:textId="77777777" w:rsidR="005E6FAD" w:rsidRPr="005E6FAD" w:rsidRDefault="005E6FAD" w:rsidP="005E6FAD">
            <w:pPr>
              <w:pStyle w:val="a6"/>
              <w:tabs>
                <w:tab w:val="left" w:pos="1021"/>
              </w:tabs>
              <w:ind w:left="454" w:hanging="397"/>
              <w:rPr>
                <w:rFonts w:ascii="Times New Roman" w:hAnsi="Times New Roman" w:cs="Times New Roman"/>
              </w:rPr>
            </w:pPr>
          </w:p>
          <w:p w14:paraId="0E0D7947" w14:textId="77777777" w:rsidR="005E6FAD" w:rsidRPr="005E6FAD" w:rsidRDefault="005E6FAD" w:rsidP="005E6FAD">
            <w:pPr>
              <w:pStyle w:val="a8"/>
              <w:numPr>
                <w:ilvl w:val="1"/>
                <w:numId w:val="1"/>
              </w:numPr>
              <w:tabs>
                <w:tab w:val="left" w:pos="1021"/>
              </w:tabs>
              <w:ind w:left="454" w:right="114" w:hanging="397"/>
              <w:jc w:val="both"/>
              <w:rPr>
                <w:rFonts w:ascii="Times New Roman" w:hAnsi="Times New Roman" w:cs="Times New Roman"/>
              </w:rPr>
            </w:pPr>
            <w:r w:rsidRPr="005E6FAD">
              <w:rPr>
                <w:rFonts w:ascii="Times New Roman" w:hAnsi="Times New Roman" w:cs="Times New Roman"/>
              </w:rPr>
              <w:t>Τα υλικά εκσκαφών να τοποθετούνται προσωρινά αυστηρά και μόνο εντός των ορίων των τεμαχίων του έργου και εφόσον είναι κατάλληλα να αξιοποιηθούν για τις αναγκαίες επιχωματώσεις και ως εδαφοβελτιωτικό, καθώς μέρος των υλικών θα αποτελεί επιφανειακό</w:t>
            </w:r>
            <w:r w:rsidRPr="005E6FAD">
              <w:rPr>
                <w:rFonts w:ascii="Times New Roman" w:hAnsi="Times New Roman" w:cs="Times New Roman"/>
                <w:spacing w:val="-9"/>
              </w:rPr>
              <w:t xml:space="preserve"> </w:t>
            </w:r>
            <w:r w:rsidRPr="005E6FAD">
              <w:rPr>
                <w:rFonts w:ascii="Times New Roman" w:hAnsi="Times New Roman" w:cs="Times New Roman"/>
              </w:rPr>
              <w:t>χώμα.</w:t>
            </w:r>
          </w:p>
          <w:p w14:paraId="35F25F4D" w14:textId="77777777" w:rsidR="005E6FAD" w:rsidRPr="005E6FAD" w:rsidRDefault="005E6FAD" w:rsidP="005E6FAD">
            <w:pPr>
              <w:pStyle w:val="a6"/>
              <w:tabs>
                <w:tab w:val="left" w:pos="1021"/>
              </w:tabs>
              <w:spacing w:before="10"/>
              <w:ind w:left="454" w:hanging="397"/>
              <w:rPr>
                <w:rFonts w:ascii="Times New Roman" w:hAnsi="Times New Roman" w:cs="Times New Roman"/>
                <w:sz w:val="21"/>
              </w:rPr>
            </w:pPr>
          </w:p>
          <w:p w14:paraId="2E3EE3E4" w14:textId="77777777" w:rsidR="005E6FAD" w:rsidRPr="005E6FAD" w:rsidRDefault="005E6FAD" w:rsidP="005E6FAD">
            <w:pPr>
              <w:pStyle w:val="a8"/>
              <w:numPr>
                <w:ilvl w:val="1"/>
                <w:numId w:val="1"/>
              </w:numPr>
              <w:tabs>
                <w:tab w:val="left" w:pos="1021"/>
              </w:tabs>
              <w:ind w:left="454" w:right="107" w:hanging="397"/>
              <w:jc w:val="both"/>
              <w:rPr>
                <w:rFonts w:ascii="Times New Roman" w:hAnsi="Times New Roman" w:cs="Times New Roman"/>
                <w:b/>
              </w:rPr>
            </w:pPr>
            <w:r w:rsidRPr="005E6FAD">
              <w:rPr>
                <w:rFonts w:ascii="Times New Roman" w:hAnsi="Times New Roman" w:cs="Times New Roman"/>
              </w:rPr>
              <w:t xml:space="preserve">Να προβλεφθεί και να υλοποιηθεί η απαιτούμενη υποδομή ώστε τυχόν τα ελαιώδη ύδατα που θα προκύπτουν από τις εργασίες συντήρησης κατά το στάδιο της λειτουργίας του έργου να διοχετεύονται μέσω αγωγού σε στεγανή δεξαμενή μέχρι τη διάθεσή τους σε συλλέκτη/μεταφορέα καταχωρημένο στο αρχείο για το συγκεκριμένο ρεύμα αποβλήτων στην Κύπρο και ακολούθως για διαχείριση σε αδειοδοτημένη εγκατάσταση διαχείρισης αποβλήτων σύμφωνα με τους περί Αποβλήτων Νόμους, 2011 έως 2016. </w:t>
            </w:r>
            <w:r w:rsidRPr="005E6FAD">
              <w:rPr>
                <w:rFonts w:ascii="Times New Roman" w:hAnsi="Times New Roman" w:cs="Times New Roman"/>
                <w:b/>
              </w:rPr>
              <w:t>Ο όρος αυτός είναι ουσιώδης.</w:t>
            </w:r>
          </w:p>
          <w:p w14:paraId="3DB97047" w14:textId="77777777" w:rsidR="005E6FAD" w:rsidRPr="005E6FAD" w:rsidRDefault="005E6FAD" w:rsidP="00944405">
            <w:pPr>
              <w:ind w:firstLine="0"/>
              <w:rPr>
                <w:lang w:val="en-US"/>
              </w:rPr>
            </w:pPr>
          </w:p>
        </w:tc>
        <w:tc>
          <w:tcPr>
            <w:tcW w:w="4673" w:type="dxa"/>
          </w:tcPr>
          <w:p w14:paraId="0E153474" w14:textId="77777777" w:rsidR="005E6FAD" w:rsidRPr="005E6FAD" w:rsidRDefault="005E6FAD" w:rsidP="00944405">
            <w:pPr>
              <w:ind w:firstLine="0"/>
              <w:rPr>
                <w:lang w:val="en-US"/>
              </w:rPr>
            </w:pPr>
          </w:p>
        </w:tc>
      </w:tr>
    </w:tbl>
    <w:p w14:paraId="700B9F1E" w14:textId="77777777" w:rsidR="005E6FAD" w:rsidRDefault="005E6FAD" w:rsidP="00944405">
      <w:pPr>
        <w:ind w:firstLine="0"/>
      </w:pPr>
    </w:p>
    <w:p w14:paraId="08E43238" w14:textId="77777777" w:rsidR="005E6FAD" w:rsidRDefault="005E6FAD">
      <w:pPr>
        <w:spacing w:after="160" w:line="259" w:lineRule="auto"/>
        <w:ind w:firstLine="0"/>
        <w:jc w:val="left"/>
      </w:pPr>
      <w:r>
        <w:br w:type="page"/>
      </w:r>
    </w:p>
    <w:p w14:paraId="35674C9C" w14:textId="77777777" w:rsidR="00801857" w:rsidRDefault="00801857" w:rsidP="00944405">
      <w:pPr>
        <w:ind w:firstLine="0"/>
      </w:pPr>
    </w:p>
    <w:tbl>
      <w:tblPr>
        <w:tblStyle w:val="a5"/>
        <w:tblW w:w="0" w:type="auto"/>
        <w:tblLook w:val="04A0" w:firstRow="1" w:lastRow="0" w:firstColumn="1" w:lastColumn="0" w:noHBand="0" w:noVBand="1"/>
      </w:tblPr>
      <w:tblGrid>
        <w:gridCol w:w="4672"/>
        <w:gridCol w:w="4673"/>
      </w:tblGrid>
      <w:tr w:rsidR="005E6FAD" w14:paraId="7FA0B1E6" w14:textId="77777777" w:rsidTr="00613BE7">
        <w:tc>
          <w:tcPr>
            <w:tcW w:w="4672" w:type="dxa"/>
          </w:tcPr>
          <w:p w14:paraId="56F2D456" w14:textId="77777777" w:rsidR="005E6FAD" w:rsidRDefault="005E6FAD" w:rsidP="005E6FAD">
            <w:pPr>
              <w:ind w:firstLine="0"/>
            </w:pPr>
            <w:r w:rsidRPr="005E6FAD">
              <w:rPr>
                <w:lang w:val="en-US"/>
              </w:rPr>
              <w:t>Source</w:t>
            </w:r>
            <w:r w:rsidRPr="00EB1D3E">
              <w:rPr>
                <w:lang w:val="en-US"/>
              </w:rPr>
              <w:t xml:space="preserve"> </w:t>
            </w:r>
            <w:r w:rsidRPr="005E6FAD">
              <w:rPr>
                <w:lang w:val="en-US"/>
              </w:rPr>
              <w:t>Language</w:t>
            </w:r>
            <w:r>
              <w:rPr>
                <w:lang w:val="en-US"/>
              </w:rPr>
              <w:t xml:space="preserve"> -</w:t>
            </w:r>
            <w:r w:rsidRPr="00EB1D3E">
              <w:rPr>
                <w:lang w:val="en-US"/>
              </w:rPr>
              <w:t xml:space="preserve"> </w:t>
            </w:r>
            <w:r>
              <w:rPr>
                <w:lang w:val="en-US"/>
              </w:rPr>
              <w:t xml:space="preserve">Russian </w:t>
            </w:r>
          </w:p>
        </w:tc>
        <w:tc>
          <w:tcPr>
            <w:tcW w:w="4673" w:type="dxa"/>
          </w:tcPr>
          <w:p w14:paraId="3CC8D503" w14:textId="77777777" w:rsidR="005E6FAD" w:rsidRDefault="005E6FAD" w:rsidP="00613BE7">
            <w:pPr>
              <w:ind w:firstLine="0"/>
            </w:pPr>
            <w:r w:rsidRPr="005E6FAD">
              <w:rPr>
                <w:lang w:val="en-US"/>
              </w:rPr>
              <w:t>Target  Language</w:t>
            </w:r>
            <w:r>
              <w:rPr>
                <w:lang w:val="en-US"/>
              </w:rPr>
              <w:t xml:space="preserve"> – </w:t>
            </w:r>
            <w:r w:rsidRPr="00EB1D3E">
              <w:rPr>
                <w:lang w:val="en-US"/>
              </w:rPr>
              <w:t>Greek</w:t>
            </w:r>
          </w:p>
        </w:tc>
      </w:tr>
      <w:tr w:rsidR="005E6FAD" w14:paraId="4AD01073" w14:textId="77777777" w:rsidTr="00613BE7">
        <w:tc>
          <w:tcPr>
            <w:tcW w:w="4672" w:type="dxa"/>
          </w:tcPr>
          <w:p w14:paraId="6A8BBF05" w14:textId="648110F9" w:rsidR="005E6FAD" w:rsidRPr="00A37A80" w:rsidRDefault="005E6FAD" w:rsidP="00A37A80">
            <w:pPr>
              <w:pStyle w:val="a8"/>
              <w:tabs>
                <w:tab w:val="left" w:pos="454"/>
              </w:tabs>
              <w:ind w:left="313" w:right="107" w:hanging="284"/>
              <w:rPr>
                <w:rFonts w:ascii="Times New Roman" w:hAnsi="Times New Roman" w:cs="Times New Roman"/>
                <w:lang w:val="ru-RU"/>
              </w:rPr>
            </w:pPr>
            <w:r w:rsidRPr="005E6FAD">
              <w:rPr>
                <w:rFonts w:ascii="Times New Roman" w:hAnsi="Times New Roman" w:cs="Times New Roman"/>
                <w:lang w:val="ru-RU"/>
              </w:rPr>
              <w:t>18.</w:t>
            </w:r>
            <w:r w:rsidRPr="005E6FAD">
              <w:rPr>
                <w:rFonts w:ascii="Times New Roman" w:hAnsi="Times New Roman" w:cs="Times New Roman"/>
                <w:lang w:val="ru-RU"/>
              </w:rPr>
              <w:tab/>
              <w:t xml:space="preserve">Сторонам нотариусом разъяснены положения ст. 178 </w:t>
            </w:r>
            <w:r w:rsidR="00902804">
              <w:rPr>
                <w:rFonts w:ascii="Times New Roman" w:hAnsi="Times New Roman" w:cs="Times New Roman"/>
                <w:lang w:val="ru-RU"/>
              </w:rPr>
              <w:t>ГК РФ</w:t>
            </w:r>
            <w:r w:rsidRPr="005E6FAD">
              <w:rPr>
                <w:rFonts w:ascii="Times New Roman" w:hAnsi="Times New Roman" w:cs="Times New Roman"/>
                <w:lang w:val="ru-RU"/>
              </w:rPr>
              <w:t>, согласно которым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 При этом заблуждение предполагается достаточно существенным, в частности</w:t>
            </w:r>
            <w:r w:rsidR="001E4DE5">
              <w:rPr>
                <w:rFonts w:ascii="Times New Roman" w:hAnsi="Times New Roman" w:cs="Times New Roman"/>
                <w:lang w:val="ru-RU"/>
              </w:rPr>
              <w:t>,</w:t>
            </w:r>
            <w:r w:rsidRPr="005E6FAD">
              <w:rPr>
                <w:rFonts w:ascii="Times New Roman" w:hAnsi="Times New Roman" w:cs="Times New Roman"/>
                <w:lang w:val="ru-RU"/>
              </w:rPr>
              <w:t xml:space="preserve"> если сторона допустила очевидные оговорку, описку, опечатку и т.п.; сторона заблуждается в отношении предмета сделки, в частности таких его качеств, которые в обороте рассматриваются как существенные; сторона заблуждается в отношении природы сделки; сторона заблуждается в отношении лица, с которым она вступает в сделку, или лица, связанного со сделкой; сторона заблуждается в отношении обстоятельства, которое она упоминает в свое</w:t>
            </w:r>
            <w:r w:rsidR="001E4DE5">
              <w:rPr>
                <w:rFonts w:ascii="Times New Roman" w:hAnsi="Times New Roman" w:cs="Times New Roman"/>
                <w:lang w:val="ru-RU"/>
              </w:rPr>
              <w:t>м волеизъявлении или из наличия</w:t>
            </w:r>
            <w:r w:rsidRPr="005E6FAD">
              <w:rPr>
                <w:rFonts w:ascii="Times New Roman" w:hAnsi="Times New Roman" w:cs="Times New Roman"/>
                <w:lang w:val="ru-RU"/>
              </w:rPr>
              <w:t xml:space="preserve"> которого она с очевидностью для другой стороны исходит, совершая сделку.</w:t>
            </w:r>
          </w:p>
        </w:tc>
        <w:tc>
          <w:tcPr>
            <w:tcW w:w="4673" w:type="dxa"/>
          </w:tcPr>
          <w:p w14:paraId="0E2C0BDF" w14:textId="77777777" w:rsidR="005E6FAD" w:rsidRPr="005E6FAD" w:rsidRDefault="005E6FAD" w:rsidP="00613BE7">
            <w:pPr>
              <w:ind w:firstLine="0"/>
            </w:pPr>
          </w:p>
        </w:tc>
      </w:tr>
    </w:tbl>
    <w:p w14:paraId="2B13EC96" w14:textId="77777777" w:rsidR="005E6FAD" w:rsidRDefault="005E6FAD" w:rsidP="00944405">
      <w:pPr>
        <w:ind w:firstLine="0"/>
      </w:pPr>
    </w:p>
    <w:sectPr w:rsidR="005E6F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altName w:val="Arial Narrow"/>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7936B9"/>
    <w:multiLevelType w:val="multilevel"/>
    <w:tmpl w:val="ED7C6CF8"/>
    <w:lvl w:ilvl="0">
      <w:start w:val="1"/>
      <w:numFmt w:val="decimal"/>
      <w:lvlText w:val="%1."/>
      <w:lvlJc w:val="left"/>
      <w:pPr>
        <w:ind w:left="614" w:hanging="360"/>
        <w:jc w:val="left"/>
      </w:pPr>
      <w:rPr>
        <w:rFonts w:ascii="Arial Narrow" w:eastAsia="Arial Narrow" w:hAnsi="Arial Narrow" w:cs="Arial Narrow" w:hint="default"/>
        <w:b/>
        <w:bCs/>
        <w:w w:val="100"/>
        <w:sz w:val="22"/>
        <w:szCs w:val="22"/>
        <w:lang w:val="el-GR" w:eastAsia="en-US" w:bidi="ar-SA"/>
      </w:rPr>
    </w:lvl>
    <w:lvl w:ilvl="1">
      <w:start w:val="1"/>
      <w:numFmt w:val="decimal"/>
      <w:lvlText w:val="%1.%2."/>
      <w:lvlJc w:val="left"/>
      <w:pPr>
        <w:ind w:left="502" w:hanging="360"/>
        <w:jc w:val="right"/>
      </w:pPr>
      <w:rPr>
        <w:rFonts w:ascii="Arial Narrow" w:eastAsia="Arial Narrow" w:hAnsi="Arial Narrow" w:cs="Arial Narrow" w:hint="default"/>
        <w:b/>
        <w:bCs/>
        <w:w w:val="100"/>
        <w:sz w:val="22"/>
        <w:szCs w:val="22"/>
        <w:lang w:val="el-GR" w:eastAsia="en-US" w:bidi="ar-SA"/>
      </w:rPr>
    </w:lvl>
    <w:lvl w:ilvl="2">
      <w:numFmt w:val="bullet"/>
      <w:lvlText w:val="-"/>
      <w:lvlJc w:val="left"/>
      <w:pPr>
        <w:ind w:left="962" w:hanging="281"/>
      </w:pPr>
      <w:rPr>
        <w:rFonts w:ascii="Arial Narrow" w:eastAsia="Arial Narrow" w:hAnsi="Arial Narrow" w:cs="Arial Narrow" w:hint="default"/>
        <w:w w:val="100"/>
        <w:sz w:val="22"/>
        <w:szCs w:val="22"/>
        <w:lang w:val="el-GR" w:eastAsia="en-US" w:bidi="ar-SA"/>
      </w:rPr>
    </w:lvl>
    <w:lvl w:ilvl="3">
      <w:numFmt w:val="bullet"/>
      <w:lvlText w:val="•"/>
      <w:lvlJc w:val="left"/>
      <w:pPr>
        <w:ind w:left="2047" w:hanging="281"/>
      </w:pPr>
      <w:rPr>
        <w:rFonts w:hint="default"/>
        <w:lang w:val="el-GR" w:eastAsia="en-US" w:bidi="ar-SA"/>
      </w:rPr>
    </w:lvl>
    <w:lvl w:ilvl="4">
      <w:numFmt w:val="bullet"/>
      <w:lvlText w:val="•"/>
      <w:lvlJc w:val="left"/>
      <w:pPr>
        <w:ind w:left="3135" w:hanging="281"/>
      </w:pPr>
      <w:rPr>
        <w:rFonts w:hint="default"/>
        <w:lang w:val="el-GR" w:eastAsia="en-US" w:bidi="ar-SA"/>
      </w:rPr>
    </w:lvl>
    <w:lvl w:ilvl="5">
      <w:numFmt w:val="bullet"/>
      <w:lvlText w:val="•"/>
      <w:lvlJc w:val="left"/>
      <w:pPr>
        <w:ind w:left="4222" w:hanging="281"/>
      </w:pPr>
      <w:rPr>
        <w:rFonts w:hint="default"/>
        <w:lang w:val="el-GR" w:eastAsia="en-US" w:bidi="ar-SA"/>
      </w:rPr>
    </w:lvl>
    <w:lvl w:ilvl="6">
      <w:numFmt w:val="bullet"/>
      <w:lvlText w:val="•"/>
      <w:lvlJc w:val="left"/>
      <w:pPr>
        <w:ind w:left="5310" w:hanging="281"/>
      </w:pPr>
      <w:rPr>
        <w:rFonts w:hint="default"/>
        <w:lang w:val="el-GR" w:eastAsia="en-US" w:bidi="ar-SA"/>
      </w:rPr>
    </w:lvl>
    <w:lvl w:ilvl="7">
      <w:numFmt w:val="bullet"/>
      <w:lvlText w:val="•"/>
      <w:lvlJc w:val="left"/>
      <w:pPr>
        <w:ind w:left="6397" w:hanging="281"/>
      </w:pPr>
      <w:rPr>
        <w:rFonts w:hint="default"/>
        <w:lang w:val="el-GR" w:eastAsia="en-US" w:bidi="ar-SA"/>
      </w:rPr>
    </w:lvl>
    <w:lvl w:ilvl="8">
      <w:numFmt w:val="bullet"/>
      <w:lvlText w:val="•"/>
      <w:lvlJc w:val="left"/>
      <w:pPr>
        <w:ind w:left="7485" w:hanging="281"/>
      </w:pPr>
      <w:rPr>
        <w:rFonts w:hint="default"/>
        <w:lang w:val="el-GR" w:eastAsia="en-US" w:bidi="ar-SA"/>
      </w:rPr>
    </w:lvl>
  </w:abstractNum>
  <w:abstractNum w:abstractNumId="1" w15:restartNumberingAfterBreak="0">
    <w:nsid w:val="77C16C6A"/>
    <w:multiLevelType w:val="multilevel"/>
    <w:tmpl w:val="ED7C6CF8"/>
    <w:lvl w:ilvl="0">
      <w:start w:val="1"/>
      <w:numFmt w:val="decimal"/>
      <w:lvlText w:val="%1."/>
      <w:lvlJc w:val="left"/>
      <w:pPr>
        <w:ind w:left="614" w:hanging="360"/>
        <w:jc w:val="left"/>
      </w:pPr>
      <w:rPr>
        <w:rFonts w:ascii="Arial Narrow" w:eastAsia="Arial Narrow" w:hAnsi="Arial Narrow" w:cs="Arial Narrow" w:hint="default"/>
        <w:b/>
        <w:bCs/>
        <w:w w:val="100"/>
        <w:sz w:val="22"/>
        <w:szCs w:val="22"/>
        <w:lang w:val="el-GR" w:eastAsia="en-US" w:bidi="ar-SA"/>
      </w:rPr>
    </w:lvl>
    <w:lvl w:ilvl="1">
      <w:start w:val="1"/>
      <w:numFmt w:val="decimal"/>
      <w:lvlText w:val="%1.%2."/>
      <w:lvlJc w:val="left"/>
      <w:pPr>
        <w:ind w:left="502" w:hanging="360"/>
        <w:jc w:val="right"/>
      </w:pPr>
      <w:rPr>
        <w:rFonts w:ascii="Arial Narrow" w:eastAsia="Arial Narrow" w:hAnsi="Arial Narrow" w:cs="Arial Narrow" w:hint="default"/>
        <w:b/>
        <w:bCs/>
        <w:w w:val="100"/>
        <w:sz w:val="22"/>
        <w:szCs w:val="22"/>
        <w:lang w:val="el-GR" w:eastAsia="en-US" w:bidi="ar-SA"/>
      </w:rPr>
    </w:lvl>
    <w:lvl w:ilvl="2">
      <w:numFmt w:val="bullet"/>
      <w:lvlText w:val="-"/>
      <w:lvlJc w:val="left"/>
      <w:pPr>
        <w:ind w:left="962" w:hanging="281"/>
      </w:pPr>
      <w:rPr>
        <w:rFonts w:ascii="Arial Narrow" w:eastAsia="Arial Narrow" w:hAnsi="Arial Narrow" w:cs="Arial Narrow" w:hint="default"/>
        <w:w w:val="100"/>
        <w:sz w:val="22"/>
        <w:szCs w:val="22"/>
        <w:lang w:val="el-GR" w:eastAsia="en-US" w:bidi="ar-SA"/>
      </w:rPr>
    </w:lvl>
    <w:lvl w:ilvl="3">
      <w:numFmt w:val="bullet"/>
      <w:lvlText w:val="•"/>
      <w:lvlJc w:val="left"/>
      <w:pPr>
        <w:ind w:left="2047" w:hanging="281"/>
      </w:pPr>
      <w:rPr>
        <w:rFonts w:hint="default"/>
        <w:lang w:val="el-GR" w:eastAsia="en-US" w:bidi="ar-SA"/>
      </w:rPr>
    </w:lvl>
    <w:lvl w:ilvl="4">
      <w:numFmt w:val="bullet"/>
      <w:lvlText w:val="•"/>
      <w:lvlJc w:val="left"/>
      <w:pPr>
        <w:ind w:left="3135" w:hanging="281"/>
      </w:pPr>
      <w:rPr>
        <w:rFonts w:hint="default"/>
        <w:lang w:val="el-GR" w:eastAsia="en-US" w:bidi="ar-SA"/>
      </w:rPr>
    </w:lvl>
    <w:lvl w:ilvl="5">
      <w:numFmt w:val="bullet"/>
      <w:lvlText w:val="•"/>
      <w:lvlJc w:val="left"/>
      <w:pPr>
        <w:ind w:left="4222" w:hanging="281"/>
      </w:pPr>
      <w:rPr>
        <w:rFonts w:hint="default"/>
        <w:lang w:val="el-GR" w:eastAsia="en-US" w:bidi="ar-SA"/>
      </w:rPr>
    </w:lvl>
    <w:lvl w:ilvl="6">
      <w:numFmt w:val="bullet"/>
      <w:lvlText w:val="•"/>
      <w:lvlJc w:val="left"/>
      <w:pPr>
        <w:ind w:left="5310" w:hanging="281"/>
      </w:pPr>
      <w:rPr>
        <w:rFonts w:hint="default"/>
        <w:lang w:val="el-GR" w:eastAsia="en-US" w:bidi="ar-SA"/>
      </w:rPr>
    </w:lvl>
    <w:lvl w:ilvl="7">
      <w:numFmt w:val="bullet"/>
      <w:lvlText w:val="•"/>
      <w:lvlJc w:val="left"/>
      <w:pPr>
        <w:ind w:left="6397" w:hanging="281"/>
      </w:pPr>
      <w:rPr>
        <w:rFonts w:hint="default"/>
        <w:lang w:val="el-GR" w:eastAsia="en-US" w:bidi="ar-SA"/>
      </w:rPr>
    </w:lvl>
    <w:lvl w:ilvl="8">
      <w:numFmt w:val="bullet"/>
      <w:lvlText w:val="•"/>
      <w:lvlJc w:val="left"/>
      <w:pPr>
        <w:ind w:left="7485" w:hanging="281"/>
      </w:pPr>
      <w:rPr>
        <w:rFonts w:hint="default"/>
        <w:lang w:val="el-G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405"/>
    <w:rsid w:val="00034921"/>
    <w:rsid w:val="001C6B00"/>
    <w:rsid w:val="001E4DE5"/>
    <w:rsid w:val="002740B6"/>
    <w:rsid w:val="0030749D"/>
    <w:rsid w:val="005E6FAD"/>
    <w:rsid w:val="00801857"/>
    <w:rsid w:val="00902804"/>
    <w:rsid w:val="00944405"/>
    <w:rsid w:val="00A37A80"/>
    <w:rsid w:val="00A52F73"/>
    <w:rsid w:val="00E84046"/>
    <w:rsid w:val="00FC7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FF3C2"/>
  <w15:chartTrackingRefBased/>
  <w15:docId w15:val="{E6C0F59C-C3C2-4BBD-93DF-077C8608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741F"/>
    <w:pPr>
      <w:spacing w:after="0" w:line="360" w:lineRule="auto"/>
      <w:ind w:firstLine="709"/>
      <w:jc w:val="both"/>
    </w:pPr>
    <w:rPr>
      <w:rFonts w:ascii="Times New Roman" w:hAnsi="Times New Roman"/>
    </w:rPr>
  </w:style>
  <w:style w:type="paragraph" w:styleId="1">
    <w:name w:val="heading 1"/>
    <w:basedOn w:val="a"/>
    <w:next w:val="a"/>
    <w:link w:val="10"/>
    <w:uiPriority w:val="9"/>
    <w:qFormat/>
    <w:rsid w:val="0030749D"/>
    <w:pPr>
      <w:keepNext/>
      <w:keepLines/>
      <w:spacing w:before="240"/>
      <w:outlineLvl w:val="0"/>
    </w:pPr>
    <w:rPr>
      <w:rFonts w:eastAsiaTheme="majorEastAsia" w:cstheme="majorBidi"/>
      <w:b/>
      <w:sz w:val="28"/>
      <w:szCs w:val="32"/>
    </w:rPr>
  </w:style>
  <w:style w:type="paragraph" w:styleId="2">
    <w:name w:val="heading 2"/>
    <w:basedOn w:val="a"/>
    <w:next w:val="a"/>
    <w:link w:val="20"/>
    <w:uiPriority w:val="9"/>
    <w:semiHidden/>
    <w:unhideWhenUsed/>
    <w:qFormat/>
    <w:rsid w:val="0030749D"/>
    <w:pPr>
      <w:keepNext/>
      <w:keepLines/>
      <w:spacing w:before="40"/>
      <w:outlineLvl w:val="1"/>
    </w:pPr>
    <w:rPr>
      <w:rFonts w:eastAsiaTheme="majorEastAsia" w:cstheme="majorBidi"/>
      <w:b/>
      <w:sz w:val="24"/>
      <w:szCs w:val="26"/>
    </w:rPr>
  </w:style>
  <w:style w:type="paragraph" w:styleId="3">
    <w:name w:val="heading 3"/>
    <w:basedOn w:val="a"/>
    <w:next w:val="a"/>
    <w:link w:val="30"/>
    <w:uiPriority w:val="9"/>
    <w:semiHidden/>
    <w:unhideWhenUsed/>
    <w:qFormat/>
    <w:rsid w:val="00034921"/>
    <w:pPr>
      <w:keepNext/>
      <w:keepLines/>
      <w:spacing w:before="40"/>
      <w:jc w:val="left"/>
      <w:outlineLvl w:val="2"/>
    </w:pPr>
    <w:rPr>
      <w:rFonts w:eastAsiaTheme="majorEastAsia" w:cstheme="majorBidi"/>
      <w:b/>
      <w:i/>
      <w:color w:val="000000" w:themeColor="text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49D"/>
    <w:rPr>
      <w:rFonts w:ascii="Times New Roman" w:eastAsiaTheme="majorEastAsia" w:hAnsi="Times New Roman" w:cstheme="majorBidi"/>
      <w:b/>
      <w:sz w:val="28"/>
      <w:szCs w:val="32"/>
    </w:rPr>
  </w:style>
  <w:style w:type="character" w:customStyle="1" w:styleId="20">
    <w:name w:val="Заголовок 2 Знак"/>
    <w:basedOn w:val="a0"/>
    <w:link w:val="2"/>
    <w:uiPriority w:val="9"/>
    <w:semiHidden/>
    <w:rsid w:val="0030749D"/>
    <w:rPr>
      <w:rFonts w:ascii="Times New Roman" w:eastAsiaTheme="majorEastAsia" w:hAnsi="Times New Roman" w:cstheme="majorBidi"/>
      <w:b/>
      <w:sz w:val="24"/>
      <w:szCs w:val="26"/>
    </w:rPr>
  </w:style>
  <w:style w:type="paragraph" w:styleId="a3">
    <w:name w:val="Subtitle"/>
    <w:basedOn w:val="a"/>
    <w:next w:val="a"/>
    <w:link w:val="a4"/>
    <w:uiPriority w:val="11"/>
    <w:qFormat/>
    <w:rsid w:val="0030749D"/>
    <w:pPr>
      <w:numPr>
        <w:ilvl w:val="1"/>
      </w:numPr>
      <w:spacing w:after="160"/>
      <w:ind w:firstLine="709"/>
    </w:pPr>
    <w:rPr>
      <w:rFonts w:eastAsiaTheme="minorEastAsia"/>
      <w:b/>
      <w:spacing w:val="15"/>
      <w:sz w:val="24"/>
    </w:rPr>
  </w:style>
  <w:style w:type="character" w:customStyle="1" w:styleId="a4">
    <w:name w:val="Подзаголовок Знак"/>
    <w:basedOn w:val="a0"/>
    <w:link w:val="a3"/>
    <w:uiPriority w:val="11"/>
    <w:rsid w:val="0030749D"/>
    <w:rPr>
      <w:rFonts w:ascii="Times New Roman" w:eastAsiaTheme="minorEastAsia" w:hAnsi="Times New Roman"/>
      <w:b/>
      <w:spacing w:val="15"/>
      <w:sz w:val="24"/>
    </w:rPr>
  </w:style>
  <w:style w:type="character" w:customStyle="1" w:styleId="30">
    <w:name w:val="Заголовок 3 Знак"/>
    <w:basedOn w:val="a0"/>
    <w:link w:val="3"/>
    <w:uiPriority w:val="9"/>
    <w:semiHidden/>
    <w:rsid w:val="00034921"/>
    <w:rPr>
      <w:rFonts w:ascii="Times New Roman" w:eastAsiaTheme="majorEastAsia" w:hAnsi="Times New Roman" w:cstheme="majorBidi"/>
      <w:b/>
      <w:i/>
      <w:color w:val="000000" w:themeColor="text1"/>
      <w:szCs w:val="24"/>
    </w:rPr>
  </w:style>
  <w:style w:type="table" w:styleId="a5">
    <w:name w:val="Table Grid"/>
    <w:basedOn w:val="a1"/>
    <w:uiPriority w:val="39"/>
    <w:rsid w:val="00944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1"/>
    <w:qFormat/>
    <w:rsid w:val="005E6FAD"/>
    <w:pPr>
      <w:widowControl w:val="0"/>
      <w:autoSpaceDE w:val="0"/>
      <w:autoSpaceDN w:val="0"/>
      <w:spacing w:line="240" w:lineRule="auto"/>
      <w:ind w:firstLine="0"/>
      <w:jc w:val="left"/>
    </w:pPr>
    <w:rPr>
      <w:rFonts w:ascii="Arial Narrow" w:eastAsia="Arial Narrow" w:hAnsi="Arial Narrow" w:cs="Arial Narrow"/>
      <w:lang w:val="el-GR"/>
    </w:rPr>
  </w:style>
  <w:style w:type="character" w:customStyle="1" w:styleId="a7">
    <w:name w:val="Основной текст Знак"/>
    <w:basedOn w:val="a0"/>
    <w:link w:val="a6"/>
    <w:uiPriority w:val="1"/>
    <w:rsid w:val="005E6FAD"/>
    <w:rPr>
      <w:rFonts w:ascii="Arial Narrow" w:eastAsia="Arial Narrow" w:hAnsi="Arial Narrow" w:cs="Arial Narrow"/>
      <w:lang w:val="el-GR"/>
    </w:rPr>
  </w:style>
  <w:style w:type="paragraph" w:styleId="a8">
    <w:name w:val="List Paragraph"/>
    <w:basedOn w:val="a"/>
    <w:uiPriority w:val="1"/>
    <w:qFormat/>
    <w:rsid w:val="005E6FAD"/>
    <w:pPr>
      <w:widowControl w:val="0"/>
      <w:autoSpaceDE w:val="0"/>
      <w:autoSpaceDN w:val="0"/>
      <w:spacing w:line="240" w:lineRule="auto"/>
      <w:ind w:left="681" w:hanging="428"/>
    </w:pPr>
    <w:rPr>
      <w:rFonts w:ascii="Arial Narrow" w:eastAsia="Arial Narrow" w:hAnsi="Arial Narrow" w:cs="Arial Narrow"/>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Никонова</dc:creator>
  <cp:keywords/>
  <dc:description/>
  <cp:lastModifiedBy>Tetyana Neofytou</cp:lastModifiedBy>
  <cp:revision>2</cp:revision>
  <dcterms:created xsi:type="dcterms:W3CDTF">2021-04-09T11:35:00Z</dcterms:created>
  <dcterms:modified xsi:type="dcterms:W3CDTF">2021-04-09T11:35:00Z</dcterms:modified>
</cp:coreProperties>
</file>