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09" w:rsidRPr="005A446D" w:rsidRDefault="00764609" w:rsidP="00764609">
      <w:pPr>
        <w:jc w:val="center"/>
        <w:rPr>
          <w:b/>
          <w:bCs/>
        </w:rPr>
      </w:pPr>
      <w:r w:rsidRPr="005A446D">
        <w:rPr>
          <w:b/>
          <w:bCs/>
        </w:rPr>
        <w:t xml:space="preserve">Тестовый перевод </w:t>
      </w:r>
    </w:p>
    <w:p w:rsidR="00764609" w:rsidRPr="005A446D" w:rsidRDefault="00764609" w:rsidP="00764609"/>
    <w:p w:rsidR="001116CE" w:rsidRPr="005A446D" w:rsidRDefault="00764609" w:rsidP="001116CE">
      <w:pPr>
        <w:pStyle w:val="a3"/>
        <w:numPr>
          <w:ilvl w:val="0"/>
          <w:numId w:val="1"/>
        </w:numPr>
        <w:rPr>
          <w:b/>
          <w:bCs/>
          <w:i/>
          <w:iCs/>
          <w:sz w:val="24"/>
          <w:szCs w:val="24"/>
        </w:rPr>
      </w:pPr>
      <w:r w:rsidRPr="005A446D">
        <w:rPr>
          <w:b/>
          <w:bCs/>
          <w:i/>
          <w:iCs/>
          <w:sz w:val="24"/>
          <w:szCs w:val="24"/>
        </w:rPr>
        <w:t>С английского на русский  язык:</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5043"/>
      </w:tblGrid>
      <w:tr w:rsidR="00154D25" w:rsidRPr="00154D25" w:rsidTr="0064464B">
        <w:tc>
          <w:tcPr>
            <w:tcW w:w="5037" w:type="dxa"/>
          </w:tcPr>
          <w:p w:rsidR="000101B8" w:rsidRPr="00154D25" w:rsidRDefault="000101B8" w:rsidP="0064464B">
            <w:pPr>
              <w:jc w:val="both"/>
              <w:rPr>
                <w:b/>
              </w:rPr>
            </w:pPr>
            <w:proofErr w:type="gramStart"/>
            <w:r w:rsidRPr="00154D25">
              <w:rPr>
                <w:b/>
              </w:rPr>
              <w:t xml:space="preserve">Общая </w:t>
            </w:r>
            <w:proofErr w:type="gramEnd"/>
          </w:p>
        </w:tc>
        <w:tc>
          <w:tcPr>
            <w:tcW w:w="5043" w:type="dxa"/>
          </w:tcPr>
          <w:p w:rsidR="000101B8" w:rsidRPr="00154D25" w:rsidRDefault="000101B8" w:rsidP="000101B8">
            <w:pPr>
              <w:rPr>
                <w:b/>
              </w:rPr>
            </w:pPr>
            <w:r w:rsidRPr="00154D25">
              <w:rPr>
                <w:b/>
              </w:rPr>
              <w:t xml:space="preserve">Перевод </w:t>
            </w:r>
          </w:p>
        </w:tc>
      </w:tr>
      <w:tr w:rsidR="00154D25" w:rsidRPr="00050A79" w:rsidTr="0064464B">
        <w:tc>
          <w:tcPr>
            <w:tcW w:w="5037" w:type="dxa"/>
          </w:tcPr>
          <w:p w:rsidR="00764609" w:rsidRPr="00DD11F4" w:rsidRDefault="00050A79" w:rsidP="00CC7110">
            <w:pPr>
              <w:jc w:val="both"/>
              <w:rPr>
                <w:lang w:val="en-GB"/>
              </w:rPr>
            </w:pPr>
            <w:r w:rsidRPr="00050A79">
              <w:rPr>
                <w:lang w:val="en-GB"/>
              </w:rPr>
              <w:t xml:space="preserve">The corporate brand is the company vision and mission manifested in a comprehensible way. As such, there should be no distinction between the business and the corporate brand. The role of the corporate brand articulates the company’s vision and values, clearly </w:t>
            </w:r>
            <w:r w:rsidR="00DD11F4">
              <w:rPr>
                <w:lang w:val="en-GB"/>
              </w:rPr>
              <w:t>and openly to all stakeholders.</w:t>
            </w:r>
          </w:p>
        </w:tc>
        <w:tc>
          <w:tcPr>
            <w:tcW w:w="5043" w:type="dxa"/>
          </w:tcPr>
          <w:p w:rsidR="00764609" w:rsidRPr="00154D25" w:rsidRDefault="00764609" w:rsidP="00050A79">
            <w:pPr>
              <w:jc w:val="both"/>
              <w:rPr>
                <w:lang w:val="en-GB"/>
              </w:rPr>
            </w:pPr>
          </w:p>
        </w:tc>
      </w:tr>
      <w:tr w:rsidR="008E2A4F" w:rsidRPr="00154D25" w:rsidTr="001F5916">
        <w:tc>
          <w:tcPr>
            <w:tcW w:w="5037" w:type="dxa"/>
          </w:tcPr>
          <w:p w:rsidR="008E2A4F" w:rsidRPr="00154D25" w:rsidRDefault="008E2A4F" w:rsidP="001F5916">
            <w:pPr>
              <w:jc w:val="both"/>
              <w:rPr>
                <w:b/>
              </w:rPr>
            </w:pPr>
            <w:proofErr w:type="gramStart"/>
            <w:r w:rsidRPr="00154D25">
              <w:rPr>
                <w:b/>
              </w:rPr>
              <w:t xml:space="preserve">Экономическая </w:t>
            </w:r>
            <w:proofErr w:type="gramEnd"/>
          </w:p>
        </w:tc>
        <w:tc>
          <w:tcPr>
            <w:tcW w:w="5043" w:type="dxa"/>
          </w:tcPr>
          <w:p w:rsidR="008E2A4F" w:rsidRPr="00154D25" w:rsidRDefault="008E2A4F" w:rsidP="001F5916">
            <w:pPr>
              <w:rPr>
                <w:b/>
              </w:rPr>
            </w:pPr>
            <w:r w:rsidRPr="00154D25">
              <w:rPr>
                <w:b/>
              </w:rPr>
              <w:t xml:space="preserve">Перевод </w:t>
            </w:r>
          </w:p>
        </w:tc>
      </w:tr>
      <w:tr w:rsidR="008E2A4F" w:rsidRPr="007E5295" w:rsidTr="001F5916">
        <w:tc>
          <w:tcPr>
            <w:tcW w:w="5037" w:type="dxa"/>
          </w:tcPr>
          <w:p w:rsidR="008E2A4F" w:rsidRPr="00DD11F4" w:rsidRDefault="008E2A4F" w:rsidP="001F5916">
            <w:pPr>
              <w:jc w:val="both"/>
              <w:rPr>
                <w:lang w:val="en-GB"/>
              </w:rPr>
            </w:pPr>
            <w:r w:rsidRPr="00F174B6">
              <w:rPr>
                <w:lang w:val="en-GB"/>
              </w:rPr>
              <w:t xml:space="preserve">For instance, the bond markets in 1994 were so volatile that virtually any system </w:t>
            </w:r>
            <w:proofErr w:type="gramStart"/>
            <w:r w:rsidRPr="00F174B6">
              <w:rPr>
                <w:lang w:val="en-GB"/>
              </w:rPr>
              <w:t>could be successfully applied</w:t>
            </w:r>
            <w:proofErr w:type="gramEnd"/>
            <w:r w:rsidRPr="00F174B6">
              <w:rPr>
                <w:lang w:val="en-GB"/>
              </w:rPr>
              <w:t xml:space="preserve"> to garner significant profits in the March, June and September Bu</w:t>
            </w:r>
            <w:bookmarkStart w:id="0" w:name="_GoBack"/>
            <w:bookmarkEnd w:id="0"/>
            <w:r w:rsidRPr="00F174B6">
              <w:rPr>
                <w:lang w:val="en-GB"/>
              </w:rPr>
              <w:t>nd contracts. In other words, even a system back tested on a vast number of intraday bars is quite proba</w:t>
            </w:r>
            <w:r>
              <w:rPr>
                <w:lang w:val="en-GB"/>
              </w:rPr>
              <w:t>bly a long way from robustness.</w:t>
            </w:r>
          </w:p>
        </w:tc>
        <w:tc>
          <w:tcPr>
            <w:tcW w:w="5043" w:type="dxa"/>
          </w:tcPr>
          <w:p w:rsidR="008E2A4F" w:rsidRPr="007E5295" w:rsidRDefault="008E2A4F" w:rsidP="001F5916">
            <w:pPr>
              <w:jc w:val="both"/>
              <w:rPr>
                <w:lang w:val="en-GB"/>
              </w:rPr>
            </w:pPr>
          </w:p>
        </w:tc>
      </w:tr>
      <w:tr w:rsidR="00CD3736" w:rsidRPr="00154D25" w:rsidTr="003C19F3">
        <w:tc>
          <w:tcPr>
            <w:tcW w:w="5037" w:type="dxa"/>
          </w:tcPr>
          <w:p w:rsidR="00CD3736" w:rsidRPr="00154D25" w:rsidRDefault="00CD3736" w:rsidP="003C19F3">
            <w:pPr>
              <w:jc w:val="both"/>
              <w:rPr>
                <w:b/>
              </w:rPr>
            </w:pPr>
            <w:proofErr w:type="gramStart"/>
            <w:r w:rsidRPr="00154D25">
              <w:rPr>
                <w:b/>
              </w:rPr>
              <w:t xml:space="preserve">Юридическая </w:t>
            </w:r>
            <w:proofErr w:type="gramEnd"/>
          </w:p>
        </w:tc>
        <w:tc>
          <w:tcPr>
            <w:tcW w:w="5043" w:type="dxa"/>
          </w:tcPr>
          <w:p w:rsidR="00CD3736" w:rsidRPr="00154D25" w:rsidRDefault="00CD3736" w:rsidP="003C19F3">
            <w:pPr>
              <w:rPr>
                <w:b/>
              </w:rPr>
            </w:pPr>
            <w:r w:rsidRPr="00154D25">
              <w:rPr>
                <w:b/>
              </w:rPr>
              <w:t xml:space="preserve">Перевод </w:t>
            </w:r>
          </w:p>
        </w:tc>
      </w:tr>
      <w:tr w:rsidR="00CD3736" w:rsidRPr="00B47AF2" w:rsidTr="003C19F3">
        <w:tc>
          <w:tcPr>
            <w:tcW w:w="5037" w:type="dxa"/>
          </w:tcPr>
          <w:p w:rsidR="00CD3736" w:rsidRPr="00B10A40" w:rsidRDefault="00CD3736" w:rsidP="003C19F3">
            <w:pPr>
              <w:jc w:val="both"/>
              <w:rPr>
                <w:lang w:val="en-GB"/>
              </w:rPr>
            </w:pPr>
            <w:r w:rsidRPr="00B47AF2">
              <w:rPr>
                <w:lang w:val="en-GB"/>
              </w:rPr>
              <w:t xml:space="preserve">Any or all of the copyright owner's </w:t>
            </w:r>
            <w:r w:rsidRPr="00B47AF2">
              <w:rPr>
                <w:b/>
                <w:i/>
                <w:lang w:val="en-US"/>
              </w:rPr>
              <w:t>exclusive</w:t>
            </w:r>
            <w:r w:rsidRPr="00B47AF2">
              <w:rPr>
                <w:lang w:val="en-GB"/>
              </w:rPr>
              <w:t xml:space="preserve"> rights or any subdivision of those rights </w:t>
            </w:r>
            <w:proofErr w:type="gramStart"/>
            <w:r w:rsidRPr="00B47AF2">
              <w:rPr>
                <w:lang w:val="en-GB"/>
              </w:rPr>
              <w:t>may be transferred</w:t>
            </w:r>
            <w:proofErr w:type="gramEnd"/>
            <w:r w:rsidRPr="00B47AF2">
              <w:rPr>
                <w:lang w:val="en-GB"/>
              </w:rPr>
              <w:t>, but the transfer of exclusive rights is not valid unless that transfer is in writing and signed by the owner of the rights conveyed or such owner's duly authorized agent. Transfer of a right on a nonexclusive basis does not require a written agreement.</w:t>
            </w:r>
          </w:p>
        </w:tc>
        <w:tc>
          <w:tcPr>
            <w:tcW w:w="5043" w:type="dxa"/>
          </w:tcPr>
          <w:p w:rsidR="00CD3736" w:rsidRPr="00154D25" w:rsidRDefault="00CD3736" w:rsidP="003C19F3">
            <w:pPr>
              <w:jc w:val="both"/>
              <w:rPr>
                <w:lang w:val="en-GB"/>
              </w:rPr>
            </w:pPr>
          </w:p>
        </w:tc>
      </w:tr>
      <w:tr w:rsidR="00154D25" w:rsidRPr="00154D25" w:rsidTr="0064464B">
        <w:tc>
          <w:tcPr>
            <w:tcW w:w="5037" w:type="dxa"/>
          </w:tcPr>
          <w:p w:rsidR="000101B8" w:rsidRPr="00154D25" w:rsidRDefault="00B96CD4" w:rsidP="0064464B">
            <w:pPr>
              <w:jc w:val="both"/>
              <w:rPr>
                <w:b/>
              </w:rPr>
            </w:pPr>
            <w:proofErr w:type="gramStart"/>
            <w:r w:rsidRPr="00154D25">
              <w:rPr>
                <w:b/>
              </w:rPr>
              <w:t xml:space="preserve">Медицинская </w:t>
            </w:r>
            <w:proofErr w:type="gramEnd"/>
          </w:p>
        </w:tc>
        <w:tc>
          <w:tcPr>
            <w:tcW w:w="5043" w:type="dxa"/>
          </w:tcPr>
          <w:p w:rsidR="000101B8" w:rsidRPr="00154D25" w:rsidRDefault="000101B8" w:rsidP="0064464B">
            <w:pPr>
              <w:rPr>
                <w:b/>
              </w:rPr>
            </w:pPr>
            <w:r w:rsidRPr="00154D25">
              <w:rPr>
                <w:b/>
              </w:rPr>
              <w:t xml:space="preserve">Перевод </w:t>
            </w:r>
          </w:p>
        </w:tc>
      </w:tr>
      <w:tr w:rsidR="00154D25" w:rsidRPr="00CB37EE" w:rsidTr="0064464B">
        <w:tc>
          <w:tcPr>
            <w:tcW w:w="5037" w:type="dxa"/>
          </w:tcPr>
          <w:p w:rsidR="000101B8" w:rsidRPr="00D43422" w:rsidRDefault="00D43422" w:rsidP="00DD11F4">
            <w:pPr>
              <w:jc w:val="both"/>
              <w:rPr>
                <w:lang w:val="en-GB"/>
              </w:rPr>
            </w:pPr>
            <w:r w:rsidRPr="00D43422">
              <w:rPr>
                <w:lang w:val="en-GB"/>
              </w:rPr>
              <w:t>Hem-o-</w:t>
            </w:r>
            <w:proofErr w:type="spellStart"/>
            <w:r w:rsidRPr="00D43422">
              <w:rPr>
                <w:lang w:val="en-GB"/>
              </w:rPr>
              <w:t>lok</w:t>
            </w:r>
            <w:proofErr w:type="spellEnd"/>
            <w:r w:rsidRPr="00D43422">
              <w:rPr>
                <w:lang w:val="en-GB"/>
              </w:rPr>
              <w:t xml:space="preserve"> Ligating Clips are single-</w:t>
            </w:r>
            <w:proofErr w:type="gramStart"/>
            <w:r w:rsidRPr="00D43422">
              <w:rPr>
                <w:lang w:val="en-GB"/>
              </w:rPr>
              <w:t>use,</w:t>
            </w:r>
            <w:proofErr w:type="gramEnd"/>
            <w:r w:rsidRPr="00D43422">
              <w:rPr>
                <w:lang w:val="en-GB"/>
              </w:rPr>
              <w:t xml:space="preserve"> non-absorbable, non-active implantable devices</w:t>
            </w:r>
            <w:r w:rsidR="00787425" w:rsidRPr="00787425">
              <w:rPr>
                <w:lang w:val="en-US"/>
              </w:rPr>
              <w:t xml:space="preserve"> </w:t>
            </w:r>
            <w:r w:rsidRPr="00D43422">
              <w:rPr>
                <w:lang w:val="en-GB"/>
              </w:rPr>
              <w:t>designed for use in general surgical procedures that require vessel or tissue ligation. Clips are available in a range of sizes including Medium, Medium-Large, Large and Extra-Large,</w:t>
            </w:r>
            <w:r w:rsidRPr="00D43422">
              <w:rPr>
                <w:lang w:val="en-US"/>
              </w:rPr>
              <w:t xml:space="preserve"> </w:t>
            </w:r>
            <w:r w:rsidRPr="00D43422">
              <w:rPr>
                <w:lang w:val="en-GB"/>
              </w:rPr>
              <w:t xml:space="preserve">providing the ability to ligate a wide range of vessel or tissue sizes. </w:t>
            </w:r>
          </w:p>
        </w:tc>
        <w:tc>
          <w:tcPr>
            <w:tcW w:w="5043" w:type="dxa"/>
          </w:tcPr>
          <w:p w:rsidR="000101B8" w:rsidRPr="00CB37EE" w:rsidRDefault="000101B8" w:rsidP="00CB37EE">
            <w:pPr>
              <w:jc w:val="both"/>
              <w:rPr>
                <w:lang w:val="en-GB"/>
              </w:rPr>
            </w:pPr>
          </w:p>
        </w:tc>
      </w:tr>
      <w:tr w:rsidR="00154D25" w:rsidRPr="00154D25" w:rsidTr="0064464B">
        <w:tc>
          <w:tcPr>
            <w:tcW w:w="5037" w:type="dxa"/>
          </w:tcPr>
          <w:p w:rsidR="000101B8" w:rsidRPr="00154D25" w:rsidRDefault="00061D70" w:rsidP="0064464B">
            <w:pPr>
              <w:jc w:val="both"/>
              <w:rPr>
                <w:b/>
              </w:rPr>
            </w:pPr>
            <w:proofErr w:type="gramStart"/>
            <w:r w:rsidRPr="00154D25">
              <w:rPr>
                <w:b/>
              </w:rPr>
              <w:t>Техническая</w:t>
            </w:r>
            <w:proofErr w:type="gramEnd"/>
          </w:p>
        </w:tc>
        <w:tc>
          <w:tcPr>
            <w:tcW w:w="5043" w:type="dxa"/>
          </w:tcPr>
          <w:p w:rsidR="000101B8" w:rsidRPr="00154D25" w:rsidRDefault="000101B8" w:rsidP="0064464B">
            <w:pPr>
              <w:rPr>
                <w:b/>
              </w:rPr>
            </w:pPr>
            <w:r w:rsidRPr="00154D25">
              <w:rPr>
                <w:b/>
              </w:rPr>
              <w:t xml:space="preserve">Перевод </w:t>
            </w:r>
          </w:p>
        </w:tc>
      </w:tr>
      <w:tr w:rsidR="00154D25" w:rsidRPr="00CB37EE" w:rsidTr="0064464B">
        <w:tc>
          <w:tcPr>
            <w:tcW w:w="5037" w:type="dxa"/>
          </w:tcPr>
          <w:p w:rsidR="00CB37EE" w:rsidRPr="00CB37EE" w:rsidRDefault="00CB37EE" w:rsidP="00CB37EE">
            <w:pPr>
              <w:jc w:val="both"/>
              <w:rPr>
                <w:lang w:val="en-GB"/>
              </w:rPr>
            </w:pPr>
            <w:r w:rsidRPr="00CB37EE">
              <w:rPr>
                <w:lang w:val="en-GB"/>
              </w:rPr>
              <w:t xml:space="preserve">How to read a </w:t>
            </w:r>
            <w:proofErr w:type="spellStart"/>
            <w:r w:rsidRPr="00CB37EE">
              <w:rPr>
                <w:lang w:val="en-GB"/>
              </w:rPr>
              <w:t>Wilden</w:t>
            </w:r>
            <w:proofErr w:type="spellEnd"/>
            <w:r w:rsidRPr="00CB37EE">
              <w:rPr>
                <w:lang w:val="en-GB"/>
              </w:rPr>
              <w:t xml:space="preserve"> performance curve</w:t>
            </w:r>
          </w:p>
          <w:p w:rsidR="000101B8" w:rsidRPr="00CB37EE" w:rsidRDefault="00CB37EE" w:rsidP="00DD11F4">
            <w:pPr>
              <w:jc w:val="both"/>
              <w:rPr>
                <w:lang w:val="en-GB"/>
              </w:rPr>
            </w:pPr>
            <w:r w:rsidRPr="00CB37EE">
              <w:rPr>
                <w:lang w:val="en-GB"/>
              </w:rPr>
              <w:t xml:space="preserve">Determine the flow rate your application requires and calculate the Total Discharge Head. Plot the intersection of the discharge head on the vertical axis to the flow rate on the horizontal axis. Now the air supply pressure and air supply volume </w:t>
            </w:r>
            <w:proofErr w:type="gramStart"/>
            <w:r w:rsidRPr="00CB37EE">
              <w:rPr>
                <w:lang w:val="en-GB"/>
              </w:rPr>
              <w:t>can be extracted</w:t>
            </w:r>
            <w:proofErr w:type="gramEnd"/>
            <w:r w:rsidRPr="00CB37EE">
              <w:rPr>
                <w:lang w:val="en-GB"/>
              </w:rPr>
              <w:t xml:space="preserve"> from the curve. </w:t>
            </w:r>
          </w:p>
        </w:tc>
        <w:tc>
          <w:tcPr>
            <w:tcW w:w="5043" w:type="dxa"/>
          </w:tcPr>
          <w:p w:rsidR="000101B8" w:rsidRPr="00CB37EE" w:rsidRDefault="000101B8" w:rsidP="00CB37EE">
            <w:pPr>
              <w:jc w:val="both"/>
              <w:rPr>
                <w:lang w:val="en-GB"/>
              </w:rPr>
            </w:pPr>
          </w:p>
        </w:tc>
      </w:tr>
    </w:tbl>
    <w:p w:rsidR="00764609" w:rsidRPr="00844F97" w:rsidRDefault="00764609" w:rsidP="00764609">
      <w:pPr>
        <w:rPr>
          <w:b/>
          <w:bCs/>
          <w:iCs/>
          <w:lang w:val="en-US"/>
        </w:rPr>
      </w:pPr>
    </w:p>
    <w:p w:rsidR="001116CE" w:rsidRDefault="001116CE" w:rsidP="00844F97">
      <w:pPr>
        <w:pStyle w:val="a3"/>
        <w:numPr>
          <w:ilvl w:val="0"/>
          <w:numId w:val="1"/>
        </w:numPr>
        <w:rPr>
          <w:b/>
          <w:bCs/>
          <w:i/>
          <w:iCs/>
          <w:sz w:val="24"/>
          <w:szCs w:val="24"/>
        </w:rPr>
      </w:pPr>
      <w:r w:rsidRPr="005A446D">
        <w:rPr>
          <w:b/>
          <w:bCs/>
          <w:i/>
          <w:iCs/>
          <w:sz w:val="24"/>
          <w:szCs w:val="24"/>
        </w:rPr>
        <w:t xml:space="preserve">С </w:t>
      </w:r>
      <w:r w:rsidR="001E289F">
        <w:rPr>
          <w:b/>
          <w:bCs/>
          <w:i/>
          <w:iCs/>
          <w:sz w:val="24"/>
          <w:szCs w:val="24"/>
        </w:rPr>
        <w:t xml:space="preserve">русского на </w:t>
      </w:r>
      <w:r w:rsidRPr="005A446D">
        <w:rPr>
          <w:b/>
          <w:bCs/>
          <w:i/>
          <w:iCs/>
          <w:sz w:val="24"/>
          <w:szCs w:val="24"/>
        </w:rPr>
        <w:t>английский  язык:</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gridCol w:w="5043"/>
      </w:tblGrid>
      <w:tr w:rsidR="00154D25" w:rsidRPr="00154D25" w:rsidTr="0064464B">
        <w:tc>
          <w:tcPr>
            <w:tcW w:w="5037" w:type="dxa"/>
          </w:tcPr>
          <w:p w:rsidR="000101B8" w:rsidRPr="00154D25" w:rsidRDefault="000101B8" w:rsidP="0023277F">
            <w:pPr>
              <w:jc w:val="both"/>
              <w:rPr>
                <w:b/>
              </w:rPr>
            </w:pPr>
            <w:proofErr w:type="gramStart"/>
            <w:r w:rsidRPr="00154D25">
              <w:rPr>
                <w:b/>
              </w:rPr>
              <w:t xml:space="preserve">Общая </w:t>
            </w:r>
            <w:proofErr w:type="gramEnd"/>
          </w:p>
        </w:tc>
        <w:tc>
          <w:tcPr>
            <w:tcW w:w="5043" w:type="dxa"/>
          </w:tcPr>
          <w:p w:rsidR="000101B8" w:rsidRPr="00154D25" w:rsidRDefault="000101B8" w:rsidP="0064464B">
            <w:pPr>
              <w:rPr>
                <w:b/>
              </w:rPr>
            </w:pPr>
            <w:r w:rsidRPr="00154D25">
              <w:rPr>
                <w:b/>
              </w:rPr>
              <w:t xml:space="preserve">Перевод </w:t>
            </w:r>
          </w:p>
        </w:tc>
      </w:tr>
      <w:tr w:rsidR="00154D25" w:rsidRPr="00154D25" w:rsidTr="0064464B">
        <w:tc>
          <w:tcPr>
            <w:tcW w:w="5037" w:type="dxa"/>
          </w:tcPr>
          <w:p w:rsidR="000101B8" w:rsidRPr="00154D25" w:rsidRDefault="000101B8" w:rsidP="0023277F">
            <w:pPr>
              <w:jc w:val="both"/>
            </w:pPr>
            <w:r w:rsidRPr="00154D25">
              <w:t xml:space="preserve">Основанная в 1999 году, компания </w:t>
            </w:r>
            <w:proofErr w:type="spellStart"/>
            <w:r w:rsidRPr="00154D25">
              <w:t>NASL</w:t>
            </w:r>
            <w:proofErr w:type="spellEnd"/>
            <w:r w:rsidRPr="00154D25">
              <w:t xml:space="preserve"> начала работу как авторизованный дилер </w:t>
            </w:r>
            <w:proofErr w:type="spellStart"/>
            <w:r w:rsidRPr="00154D25">
              <w:t>CGR</w:t>
            </w:r>
            <w:proofErr w:type="spellEnd"/>
            <w:r w:rsidRPr="00154D25">
              <w:t xml:space="preserve"> </w:t>
            </w:r>
            <w:proofErr w:type="spellStart"/>
            <w:r w:rsidRPr="00154D25">
              <w:t>Business</w:t>
            </w:r>
            <w:proofErr w:type="spellEnd"/>
            <w:r w:rsidRPr="00154D25">
              <w:t xml:space="preserve"> </w:t>
            </w:r>
            <w:proofErr w:type="spellStart"/>
            <w:r w:rsidRPr="00154D25">
              <w:t>Solutions</w:t>
            </w:r>
            <w:proofErr w:type="spellEnd"/>
            <w:r w:rsidRPr="00154D25">
              <w:t xml:space="preserve"> в России и за 3 года добилась значительного роста. Сегодня компания обладает целым комплексом современных инструментов, позволяющих </w:t>
            </w:r>
            <w:r w:rsidRPr="00154D25">
              <w:lastRenderedPageBreak/>
              <w:t xml:space="preserve">оптимизировать финансово-хозяйственную деятельность предприятия. </w:t>
            </w:r>
            <w:proofErr w:type="spellStart"/>
            <w:r w:rsidRPr="00154D25">
              <w:t>NASL</w:t>
            </w:r>
            <w:proofErr w:type="spellEnd"/>
            <w:r w:rsidRPr="00154D25">
              <w:t xml:space="preserve"> работает с лучшими фирмами-производителями систем.</w:t>
            </w:r>
            <w:proofErr w:type="gramStart"/>
            <w:r w:rsidRPr="00154D25">
              <w:t xml:space="preserve">  </w:t>
            </w:r>
            <w:proofErr w:type="gramEnd"/>
            <w:r w:rsidRPr="00154D25">
              <w:t>Мы помогаем выбрать и внедрить оптимальное решение из многих, представленных на рынке.</w:t>
            </w:r>
          </w:p>
        </w:tc>
        <w:tc>
          <w:tcPr>
            <w:tcW w:w="5043" w:type="dxa"/>
          </w:tcPr>
          <w:p w:rsidR="000101B8" w:rsidRPr="00154D25" w:rsidRDefault="000101B8" w:rsidP="0023277F">
            <w:pPr>
              <w:jc w:val="both"/>
            </w:pPr>
          </w:p>
        </w:tc>
      </w:tr>
      <w:tr w:rsidR="008E2A4F" w:rsidRPr="00154D25" w:rsidTr="003541A7">
        <w:tc>
          <w:tcPr>
            <w:tcW w:w="5037" w:type="dxa"/>
          </w:tcPr>
          <w:p w:rsidR="008E2A4F" w:rsidRPr="00154D25" w:rsidRDefault="008E2A4F" w:rsidP="003541A7">
            <w:pPr>
              <w:jc w:val="both"/>
              <w:rPr>
                <w:b/>
              </w:rPr>
            </w:pPr>
            <w:proofErr w:type="gramStart"/>
            <w:r w:rsidRPr="00154D25">
              <w:rPr>
                <w:b/>
              </w:rPr>
              <w:lastRenderedPageBreak/>
              <w:t xml:space="preserve">Экономическая </w:t>
            </w:r>
            <w:proofErr w:type="gramEnd"/>
          </w:p>
        </w:tc>
        <w:tc>
          <w:tcPr>
            <w:tcW w:w="5043" w:type="dxa"/>
          </w:tcPr>
          <w:p w:rsidR="008E2A4F" w:rsidRPr="00154D25" w:rsidRDefault="008E2A4F" w:rsidP="003541A7">
            <w:pPr>
              <w:rPr>
                <w:b/>
              </w:rPr>
            </w:pPr>
            <w:r w:rsidRPr="00154D25">
              <w:rPr>
                <w:b/>
              </w:rPr>
              <w:t xml:space="preserve">Перевод </w:t>
            </w:r>
          </w:p>
        </w:tc>
      </w:tr>
      <w:tr w:rsidR="008E2A4F" w:rsidRPr="00154D25" w:rsidTr="003541A7">
        <w:tc>
          <w:tcPr>
            <w:tcW w:w="5037" w:type="dxa"/>
          </w:tcPr>
          <w:p w:rsidR="008E2A4F" w:rsidRPr="007E5295" w:rsidRDefault="008E2A4F" w:rsidP="003541A7">
            <w:pPr>
              <w:jc w:val="both"/>
            </w:pPr>
            <w:r w:rsidRPr="002C0D7E">
              <w:t xml:space="preserve">Интерес к финансовому рынку </w:t>
            </w:r>
            <w:r>
              <w:t>страны</w:t>
            </w:r>
            <w:r w:rsidRPr="002C0D7E">
              <w:t xml:space="preserve"> понятен и закономерен. Приватизация сделала возможной покупку акций и облигаций. Крупные </w:t>
            </w:r>
            <w:r>
              <w:t>национальные</w:t>
            </w:r>
            <w:r w:rsidRPr="002C0D7E">
              <w:t xml:space="preserve"> фирмы выходят на западные рынки со своими ценными бумагами. В 1997 году фонды, которые специализировались на рынке</w:t>
            </w:r>
            <w:r>
              <w:t xml:space="preserve"> страны</w:t>
            </w:r>
            <w:r w:rsidRPr="002C0D7E">
              <w:t xml:space="preserve">, выросли в цене примерно в полтора-два раза. Хотя к концу года в связи с </w:t>
            </w:r>
            <w:r>
              <w:t>внешними</w:t>
            </w:r>
            <w:r w:rsidRPr="002C0D7E">
              <w:t xml:space="preserve"> событиями рынок </w:t>
            </w:r>
            <w:r>
              <w:t xml:space="preserve">страны </w:t>
            </w:r>
            <w:r w:rsidRPr="002C0D7E">
              <w:t>«упал» процентов на 30, такая высокая доходность не может не привлечь внимания.</w:t>
            </w:r>
          </w:p>
        </w:tc>
        <w:tc>
          <w:tcPr>
            <w:tcW w:w="5043" w:type="dxa"/>
          </w:tcPr>
          <w:p w:rsidR="008E2A4F" w:rsidRPr="00154D25" w:rsidRDefault="008E2A4F" w:rsidP="003541A7">
            <w:pPr>
              <w:jc w:val="both"/>
            </w:pPr>
          </w:p>
        </w:tc>
      </w:tr>
      <w:tr w:rsidR="00CD3736" w:rsidRPr="00154D25" w:rsidTr="00F1659A">
        <w:tc>
          <w:tcPr>
            <w:tcW w:w="5037" w:type="dxa"/>
          </w:tcPr>
          <w:p w:rsidR="00CD3736" w:rsidRPr="00154D25" w:rsidRDefault="00CD3736" w:rsidP="00F1659A">
            <w:pPr>
              <w:jc w:val="both"/>
              <w:rPr>
                <w:b/>
              </w:rPr>
            </w:pPr>
            <w:proofErr w:type="gramStart"/>
            <w:r w:rsidRPr="00154D25">
              <w:rPr>
                <w:b/>
              </w:rPr>
              <w:t xml:space="preserve">Юридическая </w:t>
            </w:r>
            <w:proofErr w:type="gramEnd"/>
          </w:p>
        </w:tc>
        <w:tc>
          <w:tcPr>
            <w:tcW w:w="5043" w:type="dxa"/>
          </w:tcPr>
          <w:p w:rsidR="00CD3736" w:rsidRPr="00154D25" w:rsidRDefault="00CD3736" w:rsidP="00F1659A">
            <w:pPr>
              <w:rPr>
                <w:b/>
              </w:rPr>
            </w:pPr>
            <w:r w:rsidRPr="00154D25">
              <w:rPr>
                <w:b/>
              </w:rPr>
              <w:t xml:space="preserve">Перевод </w:t>
            </w:r>
          </w:p>
        </w:tc>
      </w:tr>
      <w:tr w:rsidR="00CD3736" w:rsidRPr="00F21C71" w:rsidTr="00F1659A">
        <w:tc>
          <w:tcPr>
            <w:tcW w:w="5037" w:type="dxa"/>
          </w:tcPr>
          <w:p w:rsidR="00CD3736" w:rsidRPr="00F21C71" w:rsidRDefault="00CD3736" w:rsidP="008E2A4F">
            <w:pPr>
              <w:jc w:val="both"/>
            </w:pPr>
            <w:r w:rsidRPr="00CD3736">
              <w:t xml:space="preserve">Несмотря на </w:t>
            </w:r>
            <w:proofErr w:type="gramStart"/>
            <w:r w:rsidRPr="00CD3736">
              <w:t>то</w:t>
            </w:r>
            <w:proofErr w:type="gramEnd"/>
            <w:r w:rsidRPr="00CD3736">
              <w:t xml:space="preserve"> что судебные акты по данной категории дел вступают в силу немедленно, они могут быть пересмотрены в апелляционном порядке. Любой из участников дела может обжаловать такой акт в десятидневный срок. В то же время, хотя судебный акт всегда влечет правовые последствия, апелляционная инстанция не может его приостановить. </w:t>
            </w:r>
          </w:p>
        </w:tc>
        <w:tc>
          <w:tcPr>
            <w:tcW w:w="5043" w:type="dxa"/>
          </w:tcPr>
          <w:p w:rsidR="00CD3736" w:rsidRPr="00154D25" w:rsidRDefault="00CD3736" w:rsidP="00F1659A">
            <w:pPr>
              <w:jc w:val="both"/>
            </w:pPr>
          </w:p>
        </w:tc>
      </w:tr>
    </w:tbl>
    <w:p w:rsidR="00676038" w:rsidRPr="0023277F" w:rsidRDefault="00676038" w:rsidP="00676038">
      <w:pPr>
        <w:rPr>
          <w:b/>
          <w:bCs/>
          <w:iCs/>
        </w:rPr>
      </w:pPr>
    </w:p>
    <w:sectPr w:rsidR="00676038" w:rsidRPr="0023277F">
      <w:pgSz w:w="11906" w:h="16838"/>
      <w:pgMar w:top="663" w:right="851" w:bottom="66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A2C"/>
    <w:multiLevelType w:val="hybridMultilevel"/>
    <w:tmpl w:val="1A30E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B10A4"/>
    <w:multiLevelType w:val="hybridMultilevel"/>
    <w:tmpl w:val="1A30E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EB"/>
    <w:rsid w:val="000101B8"/>
    <w:rsid w:val="0002730C"/>
    <w:rsid w:val="00050A79"/>
    <w:rsid w:val="00061D70"/>
    <w:rsid w:val="001116CE"/>
    <w:rsid w:val="00154D25"/>
    <w:rsid w:val="00177796"/>
    <w:rsid w:val="001E289F"/>
    <w:rsid w:val="001E389C"/>
    <w:rsid w:val="00225D1E"/>
    <w:rsid w:val="0023277F"/>
    <w:rsid w:val="002752DB"/>
    <w:rsid w:val="002C0D7E"/>
    <w:rsid w:val="002E4BCD"/>
    <w:rsid w:val="00395C58"/>
    <w:rsid w:val="00413D3C"/>
    <w:rsid w:val="0046164C"/>
    <w:rsid w:val="004D1CDE"/>
    <w:rsid w:val="004F336C"/>
    <w:rsid w:val="00512542"/>
    <w:rsid w:val="005754E1"/>
    <w:rsid w:val="005A446D"/>
    <w:rsid w:val="005B211D"/>
    <w:rsid w:val="005D6ECD"/>
    <w:rsid w:val="00600110"/>
    <w:rsid w:val="0062466D"/>
    <w:rsid w:val="00661C4B"/>
    <w:rsid w:val="00674563"/>
    <w:rsid w:val="00676038"/>
    <w:rsid w:val="00713E73"/>
    <w:rsid w:val="0072417E"/>
    <w:rsid w:val="00764609"/>
    <w:rsid w:val="00787425"/>
    <w:rsid w:val="007E5295"/>
    <w:rsid w:val="00844F97"/>
    <w:rsid w:val="00853254"/>
    <w:rsid w:val="00861F11"/>
    <w:rsid w:val="008B269E"/>
    <w:rsid w:val="008E2A4F"/>
    <w:rsid w:val="00931166"/>
    <w:rsid w:val="00981032"/>
    <w:rsid w:val="00A01D56"/>
    <w:rsid w:val="00A2507C"/>
    <w:rsid w:val="00AE0082"/>
    <w:rsid w:val="00B00DEB"/>
    <w:rsid w:val="00B10A40"/>
    <w:rsid w:val="00B47AF2"/>
    <w:rsid w:val="00B54B98"/>
    <w:rsid w:val="00B8112E"/>
    <w:rsid w:val="00B96CD4"/>
    <w:rsid w:val="00C308BA"/>
    <w:rsid w:val="00C94588"/>
    <w:rsid w:val="00CB0905"/>
    <w:rsid w:val="00CB37EE"/>
    <w:rsid w:val="00CC7110"/>
    <w:rsid w:val="00CD3736"/>
    <w:rsid w:val="00CD5E3C"/>
    <w:rsid w:val="00D1675A"/>
    <w:rsid w:val="00D43422"/>
    <w:rsid w:val="00D64CF6"/>
    <w:rsid w:val="00DD11F4"/>
    <w:rsid w:val="00E234ED"/>
    <w:rsid w:val="00E55326"/>
    <w:rsid w:val="00F174B6"/>
    <w:rsid w:val="00F21C71"/>
    <w:rsid w:val="00F8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AF2"/>
    <w:pPr>
      <w:keepNext/>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12E"/>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0"/>
    <w:semiHidden/>
    <w:rsid w:val="00764609"/>
    <w:rPr>
      <w:rFonts w:ascii="Arial" w:hAnsi="Arial" w:cs="Arial"/>
      <w:sz w:val="20"/>
    </w:rPr>
  </w:style>
  <w:style w:type="character" w:customStyle="1" w:styleId="20">
    <w:name w:val="Основной текст 2 Знак"/>
    <w:basedOn w:val="a0"/>
    <w:link w:val="2"/>
    <w:semiHidden/>
    <w:rsid w:val="00764609"/>
    <w:rPr>
      <w:rFonts w:ascii="Arial" w:eastAsia="Times New Roman" w:hAnsi="Arial" w:cs="Arial"/>
      <w:sz w:val="20"/>
      <w:szCs w:val="24"/>
      <w:lang w:eastAsia="ru-RU"/>
    </w:rPr>
  </w:style>
  <w:style w:type="paragraph" w:customStyle="1" w:styleId="11">
    <w:name w:val="Обычный1"/>
    <w:rsid w:val="00CB09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
    <w:name w:val="Normal"/>
    <w:rsid w:val="007E5295"/>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B47AF2"/>
    <w:rPr>
      <w:rFonts w:ascii="Times New Roman" w:eastAsia="Times New Roman" w:hAnsi="Times New Roman" w:cs="Times New Roman"/>
      <w:b/>
      <w:sz w:val="24"/>
      <w:szCs w:val="20"/>
      <w:lang w:eastAsia="ru-RU"/>
    </w:rPr>
  </w:style>
  <w:style w:type="character" w:styleId="a4">
    <w:name w:val="Emphasis"/>
    <w:qFormat/>
    <w:rsid w:val="00B47AF2"/>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AF2"/>
    <w:pPr>
      <w:keepNext/>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12E"/>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0"/>
    <w:semiHidden/>
    <w:rsid w:val="00764609"/>
    <w:rPr>
      <w:rFonts w:ascii="Arial" w:hAnsi="Arial" w:cs="Arial"/>
      <w:sz w:val="20"/>
    </w:rPr>
  </w:style>
  <w:style w:type="character" w:customStyle="1" w:styleId="20">
    <w:name w:val="Основной текст 2 Знак"/>
    <w:basedOn w:val="a0"/>
    <w:link w:val="2"/>
    <w:semiHidden/>
    <w:rsid w:val="00764609"/>
    <w:rPr>
      <w:rFonts w:ascii="Arial" w:eastAsia="Times New Roman" w:hAnsi="Arial" w:cs="Arial"/>
      <w:sz w:val="20"/>
      <w:szCs w:val="24"/>
      <w:lang w:eastAsia="ru-RU"/>
    </w:rPr>
  </w:style>
  <w:style w:type="paragraph" w:customStyle="1" w:styleId="11">
    <w:name w:val="Обычный1"/>
    <w:rsid w:val="00CB09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
    <w:name w:val="Normal"/>
    <w:rsid w:val="007E5295"/>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B47AF2"/>
    <w:rPr>
      <w:rFonts w:ascii="Times New Roman" w:eastAsia="Times New Roman" w:hAnsi="Times New Roman" w:cs="Times New Roman"/>
      <w:b/>
      <w:sz w:val="24"/>
      <w:szCs w:val="20"/>
      <w:lang w:eastAsia="ru-RU"/>
    </w:rPr>
  </w:style>
  <w:style w:type="character" w:styleId="a4">
    <w:name w:val="Emphasis"/>
    <w:qFormat/>
    <w:rsid w:val="00B47AF2"/>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7818">
      <w:bodyDiv w:val="1"/>
      <w:marLeft w:val="0"/>
      <w:marRight w:val="0"/>
      <w:marTop w:val="0"/>
      <w:marBottom w:val="0"/>
      <w:divBdr>
        <w:top w:val="none" w:sz="0" w:space="0" w:color="auto"/>
        <w:left w:val="none" w:sz="0" w:space="0" w:color="auto"/>
        <w:bottom w:val="none" w:sz="0" w:space="0" w:color="auto"/>
        <w:right w:val="none" w:sz="0" w:space="0" w:color="auto"/>
      </w:divBdr>
    </w:div>
    <w:div w:id="11588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2016-07-20T06:51:00Z</dcterms:created>
  <dcterms:modified xsi:type="dcterms:W3CDTF">2016-07-20T06:51:00Z</dcterms:modified>
</cp:coreProperties>
</file>