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DBDF" w14:textId="77777777" w:rsidR="000F222F" w:rsidRPr="000F222F" w:rsidRDefault="000F222F" w:rsidP="000F222F">
      <w:pPr>
        <w:pStyle w:val="h1nonumbermailrucssattributepostfix"/>
        <w:shd w:val="clear" w:color="auto" w:fill="FFFFFF"/>
        <w:spacing w:after="240" w:afterAutospacing="0"/>
        <w:ind w:left="1134"/>
        <w:rPr>
          <w:rFonts w:ascii="Arial" w:hAnsi="Arial" w:cs="Arial"/>
          <w:color w:val="333333"/>
          <w:sz w:val="23"/>
          <w:szCs w:val="23"/>
          <w:lang w:val="en-US"/>
        </w:rPr>
      </w:pPr>
      <w:r>
        <w:rPr>
          <w:rFonts w:ascii="Arial" w:hAnsi="Arial" w:cs="Arial"/>
          <w:color w:val="333333"/>
          <w:sz w:val="23"/>
          <w:szCs w:val="23"/>
          <w:lang w:val="en-US"/>
        </w:rPr>
        <w:t>3.2.P.5.6     JUSTIFICATION OF SPECIFICATIONS (</w:t>
      </w:r>
      <w:r>
        <w:rPr>
          <w:rFonts w:ascii="Arial" w:hAnsi="Arial" w:cs="Arial"/>
          <w:color w:val="333333"/>
          <w:sz w:val="23"/>
          <w:szCs w:val="23"/>
          <w:lang w:val="en-GB"/>
        </w:rPr>
        <w:t>2 MG/VIAL</w:t>
      </w:r>
      <w:r>
        <w:rPr>
          <w:rFonts w:ascii="Arial" w:hAnsi="Arial" w:cs="Arial"/>
          <w:color w:val="333333"/>
          <w:sz w:val="23"/>
          <w:szCs w:val="23"/>
          <w:lang w:val="en-US"/>
        </w:rPr>
        <w:t>)</w:t>
      </w:r>
    </w:p>
    <w:p w14:paraId="2CE6E875"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The </w:t>
      </w:r>
      <w:bookmarkStart w:id="0" w:name="mailruanchor__Hlk535420976"/>
      <w:r>
        <w:rPr>
          <w:rFonts w:ascii="Arial" w:hAnsi="Arial" w:cs="Arial"/>
          <w:color w:val="005BD1"/>
          <w:sz w:val="23"/>
          <w:szCs w:val="23"/>
          <w:u w:val="single"/>
          <w:lang w:val="en-US"/>
        </w:rPr>
        <w:t>release and shelf-life specifications for the drug product </w:t>
      </w:r>
      <w:bookmarkEnd w:id="0"/>
      <w:r>
        <w:rPr>
          <w:rFonts w:ascii="Arial" w:hAnsi="Arial" w:cs="Arial"/>
          <w:color w:val="333333"/>
          <w:sz w:val="23"/>
          <w:szCs w:val="23"/>
          <w:lang w:val="en-US"/>
        </w:rPr>
        <w:t>and their justifications are provided below.</w:t>
      </w:r>
    </w:p>
    <w:p w14:paraId="3170A074"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b/>
          <w:bCs/>
          <w:color w:val="333333"/>
          <w:sz w:val="23"/>
          <w:szCs w:val="23"/>
          <w:lang w:val="en-US"/>
        </w:rPr>
        <w:t>Appearance of lyophilizate</w:t>
      </w:r>
    </w:p>
    <w:p w14:paraId="48C854B6"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Specification:      White to off-white lyophilized powder or cake</w:t>
      </w:r>
    </w:p>
    <w:p w14:paraId="4866AA66"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The physical characteristics of the lyophilized peptide are clearly described. Other colors or appearance can indicate impurities or a property change.</w:t>
      </w:r>
    </w:p>
    <w:p w14:paraId="25A3F48E"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 </w:t>
      </w:r>
    </w:p>
    <w:p w14:paraId="1DE9BBD6"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b/>
          <w:bCs/>
          <w:color w:val="333333"/>
          <w:sz w:val="23"/>
          <w:szCs w:val="23"/>
          <w:lang w:val="en-US"/>
        </w:rPr>
        <w:t>Primary packaging material</w:t>
      </w:r>
    </w:p>
    <w:p w14:paraId="2AD7C8D3"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 xml:space="preserve">Specification:             </w:t>
      </w:r>
      <w:proofErr w:type="spellStart"/>
      <w:r>
        <w:rPr>
          <w:rFonts w:ascii="Arial" w:hAnsi="Arial" w:cs="Arial"/>
          <w:color w:val="333333"/>
          <w:sz w:val="23"/>
          <w:szCs w:val="23"/>
          <w:lang w:val="en-US"/>
        </w:rPr>
        <w:t>Colourless</w:t>
      </w:r>
      <w:proofErr w:type="spellEnd"/>
      <w:r>
        <w:rPr>
          <w:rFonts w:ascii="Arial" w:hAnsi="Arial" w:cs="Arial"/>
          <w:color w:val="333333"/>
          <w:sz w:val="23"/>
          <w:szCs w:val="23"/>
          <w:lang w:val="en-US"/>
        </w:rPr>
        <w:t xml:space="preserve"> 2R glass vial with grey rubber stopper, sealed with aluminum flip-top cap with blue (2 mg) or green (5 mg) plastic disc</w:t>
      </w:r>
    </w:p>
    <w:p w14:paraId="33401674"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The check of the appearance of the packaging materials ensures that the appropriate container is used.</w:t>
      </w:r>
    </w:p>
    <w:p w14:paraId="3CAA24C7"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 </w:t>
      </w:r>
    </w:p>
    <w:p w14:paraId="6651A874"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b/>
          <w:bCs/>
          <w:color w:val="333333"/>
          <w:sz w:val="23"/>
          <w:szCs w:val="23"/>
          <w:lang w:val="en-US"/>
        </w:rPr>
        <w:t xml:space="preserve">Identity of </w:t>
      </w:r>
      <w:proofErr w:type="spellStart"/>
      <w:r>
        <w:rPr>
          <w:rFonts w:ascii="Arial" w:hAnsi="Arial" w:cs="Arial"/>
          <w:b/>
          <w:bCs/>
          <w:color w:val="333333"/>
          <w:sz w:val="23"/>
          <w:szCs w:val="23"/>
          <w:lang w:val="en-US"/>
        </w:rPr>
        <w:t>bulevirtide</w:t>
      </w:r>
      <w:proofErr w:type="spellEnd"/>
    </w:p>
    <w:p w14:paraId="65B852E3" w14:textId="77777777" w:rsidR="000F222F" w:rsidRPr="000F222F" w:rsidRDefault="000F222F" w:rsidP="000F222F">
      <w:pPr>
        <w:pStyle w:val="bodytext0-12mailrucssattributepostfix"/>
        <w:shd w:val="clear" w:color="auto" w:fill="FFFFFF"/>
        <w:spacing w:after="120" w:afterAutospacing="0"/>
        <w:rPr>
          <w:rFonts w:ascii="Arial" w:hAnsi="Arial" w:cs="Arial"/>
          <w:color w:val="333333"/>
          <w:sz w:val="23"/>
          <w:szCs w:val="23"/>
          <w:lang w:val="en-US"/>
        </w:rPr>
      </w:pPr>
      <w:r>
        <w:rPr>
          <w:rFonts w:ascii="Arial" w:hAnsi="Arial" w:cs="Arial"/>
          <w:color w:val="333333"/>
          <w:sz w:val="23"/>
          <w:szCs w:val="23"/>
          <w:lang w:val="en-US"/>
        </w:rPr>
        <w:t>Specification:      A. The retention time of the main peak in the sample solution corresponds to the retention time of the main peak in the reference solution.</w:t>
      </w:r>
    </w:p>
    <w:p w14:paraId="6B50CC1E" w14:textId="7FD257EB" w:rsidR="000F222F" w:rsidRPr="000F222F" w:rsidRDefault="000F222F" w:rsidP="000F222F">
      <w:pPr>
        <w:pStyle w:val="bodytext0-12mailrucssattributepostfix"/>
        <w:shd w:val="clear" w:color="auto" w:fill="FFFFFF"/>
        <w:ind w:left="1701"/>
        <w:rPr>
          <w:rFonts w:ascii="Arial" w:hAnsi="Arial" w:cs="Arial"/>
          <w:color w:val="333333"/>
          <w:sz w:val="23"/>
          <w:szCs w:val="23"/>
          <w:lang w:val="en-US"/>
        </w:rPr>
      </w:pPr>
      <w:bookmarkStart w:id="1" w:name="_GoBack"/>
      <w:bookmarkEnd w:id="1"/>
      <w:r>
        <w:rPr>
          <w:rFonts w:ascii="Arial" w:hAnsi="Arial" w:cs="Arial"/>
          <w:color w:val="333333"/>
          <w:sz w:val="23"/>
          <w:szCs w:val="23"/>
          <w:lang w:val="en-US"/>
        </w:rPr>
        <w:t>   B. The UV spectrum of the main peak in the sample solution corresponds to the UV spectrum time of the main peak in the reference solution.</w:t>
      </w:r>
    </w:p>
    <w:p w14:paraId="15B38C31"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 xml:space="preserve">The identification of </w:t>
      </w:r>
      <w:proofErr w:type="spellStart"/>
      <w:r>
        <w:rPr>
          <w:rFonts w:ascii="Arial" w:hAnsi="Arial" w:cs="Arial"/>
          <w:color w:val="333333"/>
          <w:sz w:val="23"/>
          <w:szCs w:val="23"/>
          <w:lang w:val="en-US"/>
        </w:rPr>
        <w:t>bulevirtide</w:t>
      </w:r>
      <w:proofErr w:type="spellEnd"/>
      <w:r>
        <w:rPr>
          <w:rFonts w:ascii="Arial" w:hAnsi="Arial" w:cs="Arial"/>
          <w:color w:val="333333"/>
          <w:sz w:val="23"/>
          <w:szCs w:val="23"/>
          <w:lang w:val="en-US"/>
        </w:rPr>
        <w:t xml:space="preserve"> is </w:t>
      </w:r>
      <w:r>
        <w:rPr>
          <w:rFonts w:ascii="Arial" w:hAnsi="Arial" w:cs="Arial"/>
          <w:color w:val="333333"/>
          <w:sz w:val="23"/>
          <w:szCs w:val="23"/>
          <w:lang w:val="en-GB"/>
        </w:rPr>
        <w:t>unambiguously ensured by the use of two independent specific analytical procedures </w:t>
      </w:r>
      <w:r>
        <w:rPr>
          <w:rFonts w:ascii="Arial" w:hAnsi="Arial" w:cs="Arial"/>
          <w:color w:val="333333"/>
          <w:sz w:val="23"/>
          <w:szCs w:val="23"/>
          <w:lang w:val="en-US"/>
        </w:rPr>
        <w:t>i.e. HPLC and UV</w:t>
      </w:r>
      <w:r>
        <w:rPr>
          <w:rFonts w:ascii="Arial" w:hAnsi="Arial" w:cs="Arial"/>
          <w:color w:val="333333"/>
          <w:sz w:val="23"/>
          <w:szCs w:val="23"/>
          <w:lang w:val="en-GB"/>
        </w:rPr>
        <w:t>.</w:t>
      </w:r>
    </w:p>
    <w:p w14:paraId="2415FFDB"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 </w:t>
      </w:r>
    </w:p>
    <w:p w14:paraId="7B05360B"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b/>
          <w:bCs/>
          <w:color w:val="333333"/>
          <w:sz w:val="23"/>
          <w:szCs w:val="23"/>
          <w:lang w:val="en-US"/>
        </w:rPr>
        <w:t>Water content</w:t>
      </w:r>
    </w:p>
    <w:p w14:paraId="11F73AC3"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Specification:             ≤ 10% (Karl-Fischer titration)</w:t>
      </w:r>
    </w:p>
    <w:p w14:paraId="5495FA91" w14:textId="77777777" w:rsidR="000F222F" w:rsidRPr="000F222F" w:rsidRDefault="000F222F" w:rsidP="000F222F">
      <w:pPr>
        <w:pStyle w:val="bodytext0-12mailrucssattributepostfix"/>
        <w:shd w:val="clear" w:color="auto" w:fill="FFFFFF"/>
        <w:rPr>
          <w:rFonts w:ascii="Arial" w:hAnsi="Arial" w:cs="Arial"/>
          <w:color w:val="333333"/>
          <w:sz w:val="23"/>
          <w:szCs w:val="23"/>
          <w:lang w:val="en-US"/>
        </w:rPr>
      </w:pPr>
      <w:r>
        <w:rPr>
          <w:rFonts w:ascii="Arial" w:hAnsi="Arial" w:cs="Arial"/>
          <w:color w:val="333333"/>
          <w:sz w:val="23"/>
          <w:szCs w:val="23"/>
          <w:lang w:val="en-US"/>
        </w:rPr>
        <w:t>The water content helps establish a uniform physical characteristic of the drug product. It is also ensured that water will potentially have no impact on purity during long term storage. Water content varies for each type of peptide but is typically ≤ 10%.</w:t>
      </w:r>
    </w:p>
    <w:p w14:paraId="4FE1AB87" w14:textId="77777777" w:rsidR="00787976" w:rsidRPr="000F222F" w:rsidRDefault="00787976">
      <w:pPr>
        <w:rPr>
          <w:lang w:val="en-US"/>
        </w:rPr>
      </w:pPr>
    </w:p>
    <w:sectPr w:rsidR="00787976" w:rsidRPr="000F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5C"/>
    <w:rsid w:val="000F222F"/>
    <w:rsid w:val="00787976"/>
    <w:rsid w:val="007D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8191"/>
  <w15:chartTrackingRefBased/>
  <w15:docId w15:val="{9A280C6E-939F-4497-BF1B-55367F38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nonumbermailrucssattributepostfix">
    <w:name w:val="h1nonumber_mailru_css_attribute_postfix"/>
    <w:basedOn w:val="a"/>
    <w:rsid w:val="000F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12mailrucssattributepostfix">
    <w:name w:val="bodytext0-12_mailru_css_attribute_postfix"/>
    <w:basedOn w:val="a"/>
    <w:rsid w:val="000F2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07615">
      <w:bodyDiv w:val="1"/>
      <w:marLeft w:val="0"/>
      <w:marRight w:val="0"/>
      <w:marTop w:val="0"/>
      <w:marBottom w:val="0"/>
      <w:divBdr>
        <w:top w:val="none" w:sz="0" w:space="0" w:color="auto"/>
        <w:left w:val="none" w:sz="0" w:space="0" w:color="auto"/>
        <w:bottom w:val="none" w:sz="0" w:space="0" w:color="auto"/>
        <w:right w:val="none" w:sz="0" w:space="0" w:color="auto"/>
      </w:divBdr>
      <w:divsChild>
        <w:div w:id="83553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554726">
              <w:marLeft w:val="0"/>
              <w:marRight w:val="0"/>
              <w:marTop w:val="0"/>
              <w:marBottom w:val="0"/>
              <w:divBdr>
                <w:top w:val="none" w:sz="0" w:space="0" w:color="auto"/>
                <w:left w:val="none" w:sz="0" w:space="0" w:color="auto"/>
                <w:bottom w:val="none" w:sz="0" w:space="0" w:color="auto"/>
                <w:right w:val="none" w:sz="0" w:space="0" w:color="auto"/>
              </w:divBdr>
              <w:divsChild>
                <w:div w:id="1112244027">
                  <w:marLeft w:val="0"/>
                  <w:marRight w:val="0"/>
                  <w:marTop w:val="0"/>
                  <w:marBottom w:val="0"/>
                  <w:divBdr>
                    <w:top w:val="none" w:sz="0" w:space="0" w:color="auto"/>
                    <w:left w:val="none" w:sz="0" w:space="0" w:color="auto"/>
                    <w:bottom w:val="none" w:sz="0" w:space="0" w:color="auto"/>
                    <w:right w:val="none" w:sz="0" w:space="0" w:color="auto"/>
                  </w:divBdr>
                  <w:divsChild>
                    <w:div w:id="9331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Варанкина</dc:creator>
  <cp:keywords/>
  <dc:description/>
  <cp:lastModifiedBy>Екатерина Варанкина</cp:lastModifiedBy>
  <cp:revision>2</cp:revision>
  <dcterms:created xsi:type="dcterms:W3CDTF">2019-11-26T08:32:00Z</dcterms:created>
  <dcterms:modified xsi:type="dcterms:W3CDTF">2019-11-26T08:39:00Z</dcterms:modified>
</cp:coreProperties>
</file>