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6B4F" w:rsidRPr="006A0EEF" w:rsidRDefault="0022496A" w:rsidP="00924ACB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362450" cy="9048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6A" w:rsidRPr="006A0EEF" w:rsidRDefault="0022496A" w:rsidP="0022496A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  <w:r w:rsidRPr="006A0EEF">
                              <w:rPr>
                                <w:rFonts w:ascii="Verdana" w:hAnsi="Verdana" w:cs="Times New Roman"/>
                                <w:b/>
                              </w:rPr>
                              <w:t>UMOWA NA UDZIELENIE LICENCJI NA KORZYSTANIE Z OZNACZEŃ INDYWIDUALIZUJĄCYCH ORAZ PRAW WŁASNOŚCI PRZEMYSŁOWEJ NA PROJEKTACH WYNALAZCZYCH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343.5pt;height:7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" fillcolor="#9cc2e5 [1940]" strokeweight=".5pt">
                <v:textbox>
                  <w:txbxContent>
                    <w:p w:rsidR="0022496A" w:rsidRPr="006A0EEF" w:rsidRDefault="0022496A" w:rsidP="0022496A">
                      <w:pP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  <w:r w:rsidRPr="006A0EEF">
                        <w:rPr>
                          <w:rFonts w:ascii="Verdana" w:hAnsi="Verdana" w:cs="Times New Roman"/>
                          <w:b/>
                        </w:rPr>
                        <w:t>UMOWA NA UDZIELENIE LICENCJI NA KORZYSTANIE Z OZNACZEŃ INDYWIDUALIZUJĄCYCH ORAZ PRAW WŁASNOŚCI PRZEMYSŁOWEJ NA PROJEKTACH WYNALAZCZYCH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96A" w:rsidRPr="006A0EEF" w:rsidRDefault="0022496A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2496A" w:rsidRPr="006A0EEF" w:rsidRDefault="0022496A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2496A" w:rsidRPr="006A0EEF" w:rsidRDefault="0022496A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24ACB" w:rsidRPr="006A0EEF" w:rsidRDefault="00924ACB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26B4F" w:rsidRPr="006A0EEF" w:rsidRDefault="00526B4F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zawarta dnia </w:t>
      </w:r>
      <w:r w:rsidR="0022496A" w:rsidRPr="006A0EEF">
        <w:rPr>
          <w:rFonts w:ascii="Verdana" w:eastAsia="Times New Roman" w:hAnsi="Verdana" w:cs="Arial"/>
          <w:sz w:val="20"/>
          <w:szCs w:val="20"/>
          <w:lang w:eastAsia="pl-PL"/>
        </w:rPr>
        <w:t>22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2496A" w:rsidRPr="006A0EEF">
        <w:rPr>
          <w:rFonts w:ascii="Verdana" w:eastAsia="Times New Roman" w:hAnsi="Verdana" w:cs="Arial"/>
          <w:sz w:val="20"/>
          <w:szCs w:val="20"/>
          <w:lang w:eastAsia="pl-PL"/>
        </w:rPr>
        <w:t>czerwca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201</w:t>
      </w:r>
      <w:r w:rsidR="0022496A" w:rsidRPr="006A0EEF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roku w </w:t>
      </w:r>
      <w:r w:rsidR="0022698A" w:rsidRPr="006A0EEF">
        <w:rPr>
          <w:rFonts w:ascii="Verdana" w:eastAsia="Times New Roman" w:hAnsi="Verdana" w:cs="Arial"/>
          <w:sz w:val="20"/>
          <w:szCs w:val="20"/>
          <w:lang w:eastAsia="pl-PL"/>
        </w:rPr>
        <w:t>Balicach</w:t>
      </w:r>
      <w:r w:rsidR="0022496A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(Polska)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(dalej: 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„Umowa”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br/>
        <w:t>pomiędzy:</w:t>
      </w:r>
    </w:p>
    <w:p w:rsidR="004D3181" w:rsidRPr="006A0EEF" w:rsidRDefault="0022698A" w:rsidP="004D31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GPM spółka z ograniczoną odpowiedzialnością sp</w:t>
      </w:r>
      <w:r w:rsidR="0022496A"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ółka komandytowa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z siedzibą w Balicach, ul. Uśmiechu 1, 32-083 Balice,</w:t>
      </w:r>
      <w:r w:rsidR="00526B4F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wpisaną do rejestru przedsiębiorców przez Sąd Rejonowy dla Krakowa – Śródmieścia  w Krakowie, XII Wydział Gospodarczy Krajowego Rejestru Sądowego pod numerem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KRS: 0000443032,</w:t>
      </w:r>
      <w:r w:rsidR="00924ACB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posiadającą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NIP: 5130233857, REGON: 122737980</w:t>
      </w:r>
      <w:r w:rsidR="00526B4F" w:rsidRPr="006A0EEF">
        <w:rPr>
          <w:rFonts w:ascii="Verdana" w:eastAsia="Times New Roman" w:hAnsi="Verdana" w:cs="Arial"/>
          <w:sz w:val="20"/>
          <w:szCs w:val="20"/>
          <w:lang w:eastAsia="pl-PL"/>
        </w:rPr>
        <w:t>, którą reprezentuje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24ACB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jedyny 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komplementariusz – spółka pod firmą GPM sp. z o.o. z siedzibą w Balicach, ul. Uśmiechu 1, 32-083 Balice, wpisan</w:t>
      </w:r>
      <w:r w:rsidR="0022496A" w:rsidRPr="006A0EEF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do rejestru przedsiębiorców przez Sąd Rejonowy dla Krakowa – Śródmieścia  w Krakowie, XII Wydział Gospodarczy Krajowego Rejestru Sądowego pod numerem KRS: </w:t>
      </w:r>
      <w:r w:rsidRPr="006A0EEF">
        <w:rPr>
          <w:rFonts w:ascii="Verdana" w:eastAsia="Times New Roman" w:hAnsi="Verdana" w:cs="Arial"/>
          <w:bCs/>
          <w:sz w:val="20"/>
          <w:szCs w:val="20"/>
          <w:lang w:eastAsia="pl-PL"/>
        </w:rPr>
        <w:t>0000433178, reprezentowana przez</w:t>
      </w:r>
      <w:r w:rsidR="0022496A" w:rsidRPr="006A0EEF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Pr="006A0EEF">
        <w:rPr>
          <w:rFonts w:ascii="Verdana" w:eastAsia="Times New Roman" w:hAnsi="Verdana" w:cs="Arial"/>
          <w:bCs/>
          <w:sz w:val="20"/>
          <w:szCs w:val="20"/>
          <w:lang w:eastAsia="pl-PL"/>
        </w:rPr>
        <w:t>Szczepana Buryło – Prezesa Zarządu</w:t>
      </w:r>
      <w:r w:rsidR="0022496A" w:rsidRPr="006A0EEF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komplementariusza</w:t>
      </w:r>
      <w:r w:rsidR="004D3181" w:rsidRPr="006A0EEF">
        <w:rPr>
          <w:rFonts w:ascii="Verdana" w:eastAsia="Times New Roman" w:hAnsi="Verdana" w:cs="Arial"/>
          <w:bCs/>
          <w:sz w:val="20"/>
          <w:szCs w:val="20"/>
          <w:lang w:eastAsia="pl-PL"/>
        </w:rPr>
        <w:t>;</w:t>
      </w:r>
    </w:p>
    <w:p w:rsidR="00924ACB" w:rsidRPr="006A0EEF" w:rsidRDefault="00924ACB" w:rsidP="00924ACB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zwaną dalej: „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Licencjodawcą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”,</w:t>
      </w:r>
    </w:p>
    <w:p w:rsidR="00924ACB" w:rsidRPr="006A0EEF" w:rsidRDefault="00924ACB" w:rsidP="00924ACB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oraz</w:t>
      </w:r>
    </w:p>
    <w:p w:rsidR="00924ACB" w:rsidRPr="006A0EEF" w:rsidRDefault="00924ACB" w:rsidP="00924A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GALECO</w:t>
      </w:r>
      <w:r w:rsidRPr="00A7198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RU</w:t>
      </w:r>
      <w:r w:rsidRPr="00A7198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spółka</w:t>
      </w:r>
      <w:r w:rsidRPr="00A7198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z</w:t>
      </w:r>
      <w:r w:rsidRPr="00A7198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ograniczoną odpowiedzialnością, 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z siedzibą w </w:t>
      </w:r>
      <w:r w:rsidRPr="006A0EEF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_________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, ul. </w:t>
      </w:r>
      <w:r w:rsidRPr="006A0EEF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______________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6A0EEF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__-___ ____________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4D3181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zarejestrowana w </w:t>
      </w:r>
      <w:r w:rsidR="004D3181" w:rsidRPr="006A0EEF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_____________</w:t>
      </w:r>
      <w:r w:rsidR="004D3181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, pod numerem </w:t>
      </w:r>
      <w:r w:rsidR="004D3181" w:rsidRPr="006A0EEF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_____________</w:t>
      </w:r>
      <w:r w:rsidR="004D3181" w:rsidRPr="006A0EEF">
        <w:rPr>
          <w:rFonts w:ascii="Verdana" w:eastAsia="Times New Roman" w:hAnsi="Verdana" w:cs="Arial"/>
          <w:sz w:val="20"/>
          <w:szCs w:val="20"/>
          <w:lang w:eastAsia="pl-PL"/>
        </w:rPr>
        <w:t>, reprezentowaną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 przez dyrektora generalnego </w:t>
      </w:r>
      <w:r w:rsidR="004236B8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Natalię Michajłowną Titową, d</w:t>
      </w:r>
      <w:r w:rsidR="004D3181" w:rsidRPr="006A0EEF">
        <w:rPr>
          <w:rFonts w:ascii="Verdana" w:eastAsia="Times New Roman" w:hAnsi="Verdana" w:cs="Arial"/>
          <w:sz w:val="20"/>
          <w:szCs w:val="20"/>
          <w:lang w:eastAsia="pl-PL"/>
        </w:rPr>
        <w:t>ziałającą na podstawie Statutu, na dowód czego do niniejszej umowy przedłożony zostaje Statutu spółki oraz wyciąg z rejestru potwierdzający rejestrację Spółki;</w:t>
      </w:r>
    </w:p>
    <w:p w:rsidR="00924ACB" w:rsidRPr="006A0EEF" w:rsidRDefault="004D3181" w:rsidP="004D3181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zwaną dalej: „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Licencjo</w:t>
      </w:r>
      <w:r w:rsidR="005F1026"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biorcą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”,</w:t>
      </w:r>
    </w:p>
    <w:p w:rsidR="00526B4F" w:rsidRPr="006A0EEF" w:rsidRDefault="00526B4F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łącznie zwani dalej jako: 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„Strony”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, a każda z nich oddzielnie „</w:t>
      </w: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Stroną</w:t>
      </w: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”.</w:t>
      </w:r>
    </w:p>
    <w:p w:rsidR="00526B4F" w:rsidRPr="006A0EEF" w:rsidRDefault="00526B4F" w:rsidP="00924ACB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66620" w:rsidRPr="006A0EEF" w:rsidRDefault="00966620" w:rsidP="00966620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ZWAŻYWASZY, ŻE:</w:t>
      </w:r>
    </w:p>
    <w:p w:rsidR="00966620" w:rsidRPr="006A0EEF" w:rsidRDefault="005F1026" w:rsidP="00966620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Licencjobiorca zamierza rozpocząć działalność gospodarczą na terenie Federacji Rosyjskiej w zakresie produkcji i sprzedaży systemów </w:t>
      </w:r>
      <w:r w:rsidR="004236B8">
        <w:rPr>
          <w:rFonts w:ascii="Verdana" w:eastAsia="Times New Roman" w:hAnsi="Verdana" w:cs="Arial"/>
          <w:i/>
          <w:sz w:val="20"/>
          <w:szCs w:val="20"/>
          <w:lang w:eastAsia="pl-PL"/>
        </w:rPr>
        <w:t>orynnowania</w:t>
      </w:r>
      <w:r w:rsidRPr="006A0EE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jako podmiot należący do grupy kapitałowej Galeco Management, a Licencjobiorca dysponuje prawami do oznaczeń indywidualizujących oraz prawa własności przemysłowej na projektach wynalazczych, z których korzystają na podstawie licencji podmioty z grupy kapitałowej </w:t>
      </w:r>
      <w:r w:rsidR="00F85737" w:rsidRPr="006A0EEF">
        <w:rPr>
          <w:rFonts w:ascii="Verdana" w:eastAsia="Times New Roman" w:hAnsi="Verdana" w:cs="Arial"/>
          <w:i/>
          <w:sz w:val="20"/>
          <w:szCs w:val="20"/>
          <w:lang w:eastAsia="pl-PL"/>
        </w:rPr>
        <w:t>Galeco Management, celem zapewnienia możliwości korzystan</w:t>
      </w:r>
      <w:r w:rsidR="004236B8">
        <w:rPr>
          <w:rFonts w:ascii="Verdana" w:eastAsia="Times New Roman" w:hAnsi="Verdana" w:cs="Arial"/>
          <w:i/>
          <w:sz w:val="20"/>
          <w:szCs w:val="20"/>
          <w:lang w:eastAsia="pl-PL"/>
        </w:rPr>
        <w:t>ia</w:t>
      </w:r>
      <w:r w:rsidR="00F85737" w:rsidRPr="006A0EEF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z wszelkich oznaczeń indywidualizujących oraz wzorów przemysłowych przez kolejny podmiot należący do grupy kapitałowej Galeco Management, Strony postanowiły zawrzeć umowę, </w:t>
      </w:r>
    </w:p>
    <w:p w:rsidR="00F85737" w:rsidRPr="006A0EEF" w:rsidRDefault="00F85737" w:rsidP="00966620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O NASTĘPUJĄCEJ TREŚCI:</w:t>
      </w:r>
    </w:p>
    <w:p w:rsidR="00966620" w:rsidRPr="006A0EEF" w:rsidRDefault="00966620" w:rsidP="00F85737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26B4F" w:rsidRPr="006A0EEF" w:rsidRDefault="00900666" w:rsidP="005E050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§ 1</w:t>
      </w:r>
      <w:r w:rsidR="005E050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 w:rsidR="00EB7248"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PRZEDMIOT UMOWY</w:t>
      </w:r>
    </w:p>
    <w:p w:rsidR="00900666" w:rsidRPr="006A0EEF" w:rsidRDefault="00EB7248" w:rsidP="00924ACB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sz w:val="20"/>
          <w:szCs w:val="20"/>
          <w:lang w:eastAsia="pl-PL"/>
        </w:rPr>
        <w:t>Na podstawie niniejszej Umowy Licencjodawca udziela Licencjobiorcy za wynagrodzeniem licencji niewyłącznej na:</w:t>
      </w:r>
    </w:p>
    <w:p w:rsidR="00C63B72" w:rsidRPr="006A0EEF" w:rsidRDefault="004236B8" w:rsidP="00EB7248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="00EB7248" w:rsidRPr="006A0EEF">
        <w:rPr>
          <w:rFonts w:ascii="Verdana" w:eastAsia="Times New Roman" w:hAnsi="Verdana" w:cs="Arial"/>
          <w:sz w:val="20"/>
          <w:szCs w:val="20"/>
          <w:lang w:eastAsia="pl-PL"/>
        </w:rPr>
        <w:t>orzystanie z oznaczeń indywidualizujących, w postaci znaków towarowych oraz innych oznaczeń, w tym nazw handlowych, nie chronionych jako znaki towarowe, wymienionych w Załączniku nr 1 do Umowy (dalej jako „</w:t>
      </w:r>
      <w:r w:rsidR="00EB7248"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Oznaczenia</w:t>
      </w:r>
      <w:r w:rsidR="00EB7248" w:rsidRPr="006A0EEF">
        <w:rPr>
          <w:rFonts w:ascii="Verdana" w:eastAsia="Times New Roman" w:hAnsi="Verdana" w:cs="Arial"/>
          <w:sz w:val="20"/>
          <w:szCs w:val="20"/>
          <w:lang w:eastAsia="pl-PL"/>
        </w:rPr>
        <w:t>”)</w:t>
      </w:r>
      <w:r w:rsidR="00966620" w:rsidRPr="006A0EEF">
        <w:rPr>
          <w:rFonts w:ascii="Verdana" w:eastAsia="Times New Roman" w:hAnsi="Verdana" w:cs="Arial"/>
          <w:sz w:val="20"/>
          <w:szCs w:val="20"/>
          <w:lang w:eastAsia="pl-PL"/>
        </w:rPr>
        <w:t>. Świadectwa ochronne dla znaków towarowych objętych niniejszą Umową stanowią Załącznik nr 2 do niniejszej Umowy;</w:t>
      </w:r>
    </w:p>
    <w:p w:rsidR="00966620" w:rsidRPr="006A0EEF" w:rsidRDefault="004236B8" w:rsidP="00EB7248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</w:t>
      </w:r>
      <w:r w:rsidR="00966620" w:rsidRP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orzystanie z praw wyłącznych własności przemysłowej, a to praw do wynalazków zgłoszonych do ochrony i jeszcze nie opatentowanych, praw do wzorów </w:t>
      </w:r>
      <w:r w:rsidR="00966620" w:rsidRPr="006A0EEF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użytkowych chronionych oraz zgłoszonych do ochrony i jeszcze nie chronionych, patentów</w:t>
      </w:r>
      <w:r w:rsidR="00F85737" w:rsidRPr="006A0EEF">
        <w:rPr>
          <w:rFonts w:ascii="Verdana" w:eastAsia="Times New Roman" w:hAnsi="Verdana" w:cs="Arial"/>
          <w:sz w:val="20"/>
          <w:szCs w:val="20"/>
          <w:lang w:eastAsia="pl-PL"/>
        </w:rPr>
        <w:t>, praw ochronnych na wzory użytkowe oraz praw z rejestracji wzorów przemysłowych, wymienionych w Załączniku nr 3 do Umowy (dalej jako: „</w:t>
      </w:r>
      <w:r w:rsidR="00F85737"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Prawa Wyłączne</w:t>
      </w:r>
      <w:r w:rsidR="00F85737" w:rsidRPr="006A0EEF">
        <w:rPr>
          <w:rFonts w:ascii="Verdana" w:eastAsia="Times New Roman" w:hAnsi="Verdana" w:cs="Arial"/>
          <w:sz w:val="20"/>
          <w:szCs w:val="20"/>
          <w:lang w:eastAsia="pl-PL"/>
        </w:rPr>
        <w:t>”)</w:t>
      </w:r>
      <w:r w:rsidR="006A0EEF">
        <w:rPr>
          <w:rFonts w:ascii="Verdana" w:eastAsia="Times New Roman" w:hAnsi="Verdana" w:cs="Arial"/>
          <w:sz w:val="20"/>
          <w:szCs w:val="20"/>
          <w:lang w:eastAsia="pl-PL"/>
        </w:rPr>
        <w:t xml:space="preserve">, których świadectwa ochronne i świadectwa rejestracji stanowią Załącznik nr 4 do niniejszej Umowy. </w:t>
      </w:r>
    </w:p>
    <w:p w:rsidR="00900666" w:rsidRPr="006A0EEF" w:rsidRDefault="00900666" w:rsidP="00924ACB">
      <w:pPr>
        <w:overflowPunct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A0EEF" w:rsidRPr="006A0EEF" w:rsidRDefault="00900666" w:rsidP="005E050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§ 2</w:t>
      </w:r>
      <w:r w:rsidR="005E0500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 w:rsidR="006A0EEF">
        <w:rPr>
          <w:rFonts w:ascii="Verdana" w:eastAsia="Times New Roman" w:hAnsi="Verdana" w:cs="Arial"/>
          <w:b/>
          <w:sz w:val="20"/>
          <w:szCs w:val="20"/>
          <w:lang w:eastAsia="pl-PL"/>
        </w:rPr>
        <w:t>OŚWIADCZENIA</w:t>
      </w:r>
    </w:p>
    <w:p w:rsidR="006A0EEF" w:rsidRDefault="006A0EEF" w:rsidP="006A0EEF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Licencjodawca oświadcza, iż:</w:t>
      </w:r>
    </w:p>
    <w:p w:rsidR="006A0EEF" w:rsidRDefault="006A0EEF" w:rsidP="006A0EEF">
      <w:pPr>
        <w:pStyle w:val="a7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jest uprawniony do zawarcia niniejszej umowy, w szczególności do udzielenia licencji na warunkach wskazanych w niniejszej Umowie;</w:t>
      </w:r>
    </w:p>
    <w:p w:rsidR="006A0EEF" w:rsidRDefault="006A0EEF" w:rsidP="006A0EEF">
      <w:pPr>
        <w:pStyle w:val="a7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żadne z Oznaczeń ani Praw Wyłącznych nie jest obciążone prawami osób trzecich, w szczególności prawami autorskimi, z zastrzeżeniem, iż Oznaczenia oraz Prawa Wyłączne są przedmiotem użytkowania na podstawie licencji przez podmioty grupy kapitałowej Galeco Management, w szczególności Galeco sp. z o.o. z siedzibą w Balicach;</w:t>
      </w:r>
    </w:p>
    <w:p w:rsidR="006A0EEF" w:rsidRDefault="006A0EEF" w:rsidP="006A0EEF">
      <w:pPr>
        <w:pStyle w:val="a7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wniesione zostały opłaty okresowe w związku z ochroną Oznaczeń jako znaków towarowych za bieżące okresy ochrony, a także opłaty okresowe w związku z ochroną każdego z Praw Wyłącznych za bieżące okresy ochrony. </w:t>
      </w:r>
    </w:p>
    <w:p w:rsidR="006A0EEF" w:rsidRDefault="006A0EEF" w:rsidP="006A0EEF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Licencjobiorca oświadcza, iż:</w:t>
      </w:r>
    </w:p>
    <w:p w:rsidR="006A0EEF" w:rsidRDefault="005E0500" w:rsidP="006A0EEF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j</w:t>
      </w:r>
      <w:r w:rsidR="006A0EEF">
        <w:rPr>
          <w:rFonts w:ascii="Verdana" w:eastAsia="Times New Roman" w:hAnsi="Verdana" w:cs="Arial"/>
          <w:sz w:val="20"/>
          <w:szCs w:val="20"/>
          <w:lang w:eastAsia="pl-PL"/>
        </w:rPr>
        <w:t>est uprawniony do zawarcia niniejszej Umowy, w szczególności jest należycie reprezentowany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oraz uzyskał wszelkie wymagane zgody korporacyjne</w:t>
      </w:r>
      <w:r w:rsidR="004F5380">
        <w:rPr>
          <w:rFonts w:ascii="Verdana" w:eastAsia="Times New Roman" w:hAnsi="Verdana" w:cs="Arial"/>
          <w:sz w:val="20"/>
          <w:szCs w:val="20"/>
          <w:lang w:eastAsia="pl-PL"/>
        </w:rPr>
        <w:t xml:space="preserve"> do jej zawarcia</w:t>
      </w:r>
      <w:r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:rsidR="005E0500" w:rsidRDefault="005E0500" w:rsidP="006A0EEF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nie istnieją okoliczności uniemożliwiające zawarcie oraz należyte wykonanie niniejszej Umowy;</w:t>
      </w:r>
    </w:p>
    <w:p w:rsidR="005E0500" w:rsidRPr="005E0500" w:rsidRDefault="005E0500" w:rsidP="006A0EEF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E0500">
        <w:rPr>
          <w:rFonts w:ascii="Verdana" w:eastAsia="Times New Roman" w:hAnsi="Verdana" w:cs="Arial"/>
          <w:sz w:val="20"/>
          <w:szCs w:val="20"/>
          <w:lang w:eastAsia="pl-PL"/>
        </w:rPr>
        <w:t>prawa do oznaczeń indywidualizujących oraz prawa własności przemysłowej na projektach wynalazczych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udzielone na podstawie niniejszej Umowy zostaną wykorzystane do prowadzenia działalności gospodarczej polegającej na produkcji oraz sprzedaży systemów </w:t>
      </w:r>
      <w:r w:rsidR="004F5380">
        <w:rPr>
          <w:rFonts w:ascii="Verdana" w:eastAsia="Times New Roman" w:hAnsi="Verdana" w:cs="Arial"/>
          <w:sz w:val="20"/>
          <w:szCs w:val="20"/>
          <w:lang w:eastAsia="pl-PL"/>
        </w:rPr>
        <w:t>orynnowania</w:t>
      </w:r>
      <w:r>
        <w:rPr>
          <w:rFonts w:ascii="Verdana" w:eastAsia="Times New Roman" w:hAnsi="Verdana" w:cs="Arial"/>
          <w:sz w:val="20"/>
          <w:szCs w:val="20"/>
          <w:lang w:eastAsia="pl-PL"/>
        </w:rPr>
        <w:t>, prowadzonej wyłącznie pod marką „Galeco”.</w:t>
      </w:r>
    </w:p>
    <w:p w:rsidR="00EC1D79" w:rsidRPr="006A0EEF" w:rsidRDefault="00EC1D79" w:rsidP="00924ACB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26B4F" w:rsidRPr="006A0EEF" w:rsidRDefault="00EC1D79" w:rsidP="005E0500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A0EEF">
        <w:rPr>
          <w:rFonts w:ascii="Verdana" w:eastAsia="Times New Roman" w:hAnsi="Verdana" w:cs="Arial"/>
          <w:b/>
          <w:sz w:val="20"/>
          <w:szCs w:val="20"/>
          <w:lang w:eastAsia="pl-PL"/>
        </w:rPr>
        <w:t>§ 3</w:t>
      </w:r>
      <w:r w:rsidR="005E0500">
        <w:rPr>
          <w:rFonts w:ascii="Verdana" w:eastAsia="Times New Roman" w:hAnsi="Verdana" w:cs="Arial"/>
          <w:b/>
          <w:sz w:val="20"/>
          <w:szCs w:val="20"/>
          <w:lang w:eastAsia="pl-PL"/>
        </w:rPr>
        <w:t>. ZAKRES LICENJI ORAZ ZOBOWIAZANIA STRON</w:t>
      </w:r>
    </w:p>
    <w:p w:rsidR="00D022D6" w:rsidRPr="006A0EEF" w:rsidRDefault="00D022D6" w:rsidP="00924ACB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:rsidR="00D022D6" w:rsidRPr="006A0EEF" w:rsidRDefault="00D022D6" w:rsidP="00924ACB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:rsidR="005E0500" w:rsidRDefault="005E0500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Licencjodawca upoważnia Licencjobiorcę do:</w:t>
      </w:r>
    </w:p>
    <w:p w:rsidR="005E0500" w:rsidRDefault="005E0500" w:rsidP="005E0500">
      <w:pPr>
        <w:pStyle w:val="a7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Korzystania z Oznaczeń w pełnym zakresie prowadzonej przez Licencjobiorcę działalności zarobkowej związanej z wytwarzaniem i obrotem systemami orynnowania na terenie Federacji Rosyjskiej, w szczególności dla oznaczania, wprowadzania do obrotu i reklamowania tych systemów lub ich części;</w:t>
      </w:r>
    </w:p>
    <w:p w:rsidR="005E0500" w:rsidRDefault="005E0500" w:rsidP="005E0500">
      <w:pPr>
        <w:pStyle w:val="a7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Korzystania z Praw Wyłącznych w pełnym zakresie prowadzonej przez Licencjobiorcę działalności zarobkowej związanej w wytwarzaniem i obrotem systemami orynnowania na terenie Federacji Rosyjskiej, w szczególności w zakresie wytwarzania, wprowadzania do obrotu i reklamowania produktów wytworzonych według lub z zastosowaniem któregokolwiek z przedmiotów Praw Wyłącznych.</w:t>
      </w:r>
    </w:p>
    <w:p w:rsidR="00526B4F" w:rsidRDefault="005E0500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Licencjodawca upoważnia Licencjobiorcę do korzystania z Oznaczeń oraz Praw Wyłącznych na terenie Federacji Rosyjskiej na czas nieokreślony.</w:t>
      </w:r>
    </w:p>
    <w:p w:rsidR="00526B4F" w:rsidRDefault="005E0500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C0A11">
        <w:rPr>
          <w:rFonts w:ascii="Verdana" w:eastAsia="Times New Roman" w:hAnsi="Verdana" w:cs="Arial"/>
          <w:sz w:val="20"/>
          <w:szCs w:val="20"/>
          <w:lang w:eastAsia="pl-PL"/>
        </w:rPr>
        <w:t xml:space="preserve">Licencjobiorca nie jest uprawniony do </w:t>
      </w:r>
      <w:r w:rsidR="001C0A11" w:rsidRPr="001C0A11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="001C0A11">
        <w:rPr>
          <w:rFonts w:ascii="Verdana" w:eastAsia="Times New Roman" w:hAnsi="Verdana" w:cs="Arial"/>
          <w:sz w:val="20"/>
          <w:szCs w:val="20"/>
          <w:lang w:eastAsia="pl-PL"/>
        </w:rPr>
        <w:t>dzielania dalszych sublicencji</w:t>
      </w:r>
      <w:r w:rsidR="004518DF">
        <w:rPr>
          <w:rFonts w:ascii="Verdana" w:eastAsia="Times New Roman" w:hAnsi="Verdana" w:cs="Arial"/>
          <w:sz w:val="20"/>
          <w:szCs w:val="20"/>
          <w:lang w:eastAsia="pl-PL"/>
        </w:rPr>
        <w:t xml:space="preserve"> na korzystanie z Oznaczeń oraz Praw Wyłącznych, bez uprzedniej zgody Licencjodawcy udzielonej na piśmie pod rygorem nieważności</w:t>
      </w:r>
      <w:r w:rsidR="001C0A1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C0A11" w:rsidRDefault="001C0A11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Licencjodawca uprawniony jest do udzielania licencji do korzystania z Oznaczeń oraz Praw Wyłącznych na rzecz innych podmiotów, z zastrzeżeniem iż udzielenie przez Licencjodawcę innemu podmiotowi licencji do korzystania z Oznaczeń oraz Praw </w:t>
      </w: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Wyłącznych na terenie Federacji Rosyjskiej, poprzedzone zostanie poinformowaniem Licencjobiorcy przez Licencjodawcę. </w:t>
      </w:r>
    </w:p>
    <w:p w:rsidR="001C0A11" w:rsidRDefault="001C0A11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Licencjodawca uprawniony jest do korzystania z Oznaczeń oraz Praw Wyłącznych w czasie obowiązywania niniejszej Umowy. </w:t>
      </w:r>
    </w:p>
    <w:p w:rsidR="001C0A11" w:rsidRDefault="001C0A11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Licencjodawca zobowiązuje się udzielić Licencjobiorcy wszelkich wyjaśnień dotyczących stosunków prawnych i faktycznych związanych z Oznaczeniami oraz Prawami Wyłącznymi, a także zawiadomić Licencjobiorcę o wszelkich zmianach w tych stosunkach, jeżeli okażą się one istotne dla korzystania z Oznaczeń oraz Praw Wyłącznych. </w:t>
      </w:r>
    </w:p>
    <w:p w:rsidR="001C0A11" w:rsidRDefault="001C0A11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Oznaczeń </w:t>
      </w:r>
      <w:r w:rsidR="004518DF">
        <w:rPr>
          <w:rFonts w:ascii="Verdana" w:eastAsia="Times New Roman" w:hAnsi="Verdana" w:cs="Arial"/>
          <w:sz w:val="20"/>
          <w:szCs w:val="20"/>
          <w:lang w:eastAsia="pl-PL"/>
        </w:rPr>
        <w:t xml:space="preserve">oraz Praw Wyłącznych, </w:t>
      </w:r>
      <w:r>
        <w:rPr>
          <w:rFonts w:ascii="Verdana" w:eastAsia="Times New Roman" w:hAnsi="Verdana" w:cs="Arial"/>
          <w:sz w:val="20"/>
          <w:szCs w:val="20"/>
          <w:lang w:eastAsia="pl-PL"/>
        </w:rPr>
        <w:t>chronionych jako znaki towarowe</w:t>
      </w:r>
      <w:r w:rsidR="004518DF">
        <w:rPr>
          <w:rFonts w:ascii="Verdana" w:eastAsia="Times New Roman" w:hAnsi="Verdana" w:cs="Arial"/>
          <w:sz w:val="20"/>
          <w:szCs w:val="20"/>
          <w:lang w:eastAsia="pl-PL"/>
        </w:rPr>
        <w:t>, patenty, wynalazki oraz wzory użytkowe,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Licencjodawca jest uprawniony do wystąpienia do właściwych urzędów oraz rejestrów na terenie Unii Europejskiej oraz Federacji Rosyjskiej z wnioskiem o dokonanie wpisu niniejszej licencji do prowadzonej przez każdy z urzędów/rejestrów rejestr znaków towarowych. </w:t>
      </w:r>
    </w:p>
    <w:p w:rsidR="001C0A11" w:rsidRDefault="004518DF" w:rsidP="00924A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 podstawie niniejszej Umowy Licencjobiorca jest zobowiązany w szczególności do:</w:t>
      </w:r>
    </w:p>
    <w:p w:rsidR="004518DF" w:rsidRDefault="004518DF" w:rsidP="004518DF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terminowego wnoszenia wynagrodzenia za udzielenie licencji na zasadach określonych w Umowie;</w:t>
      </w:r>
    </w:p>
    <w:p w:rsidR="004518DF" w:rsidRDefault="004518DF" w:rsidP="004518DF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niezwłocznego informowania Licencjodawcy o</w:t>
      </w:r>
      <w:r w:rsidR="009B6A09">
        <w:rPr>
          <w:rFonts w:ascii="Verdana" w:eastAsia="Times New Roman" w:hAnsi="Verdana" w:cs="Arial"/>
          <w:sz w:val="20"/>
          <w:szCs w:val="20"/>
          <w:lang w:eastAsia="pl-PL"/>
        </w:rPr>
        <w:t xml:space="preserve"> wszelkich </w:t>
      </w:r>
      <w:r>
        <w:rPr>
          <w:rFonts w:ascii="Verdana" w:eastAsia="Times New Roman" w:hAnsi="Verdana" w:cs="Arial"/>
          <w:sz w:val="20"/>
          <w:szCs w:val="20"/>
          <w:lang w:eastAsia="pl-PL"/>
        </w:rPr>
        <w:t>działaniach osób trzecich stanowiących naruszenie któregokolwiek z przysługujących Licencjodawcy prawa do Oznaczeń lub Praw Wyłącznych, o których Licencjobiorca powziął wiarygodną wiadomość, a także współpracy z Licencjodawcą w działaniach mających na celu ochronę przysługujących mu praw do Oznaczeń lub Praw Wyłącznych;</w:t>
      </w:r>
    </w:p>
    <w:p w:rsidR="004518DF" w:rsidRDefault="004518DF" w:rsidP="004518DF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nieujawniania osobom trzecim informacji oraz dokumentacji otrzymanej od Licencjodawcy w wykonani</w:t>
      </w:r>
      <w:r w:rsidR="009B6A09">
        <w:rPr>
          <w:rFonts w:ascii="Verdana" w:eastAsia="Times New Roman" w:hAnsi="Verdana" w:cs="Arial"/>
          <w:sz w:val="20"/>
          <w:szCs w:val="20"/>
          <w:lang w:eastAsia="pl-PL"/>
        </w:rPr>
        <w:t>u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niniejszej Umowy, dotyczącej korzystania z Oznaczeń lub z Praw Wyłącznych objętych licencją, bez uzyskania uprzedniej zgody Licencjodawcy udzielonej na piśmie pod rygorem nieważności. </w:t>
      </w:r>
    </w:p>
    <w:p w:rsidR="004518DF" w:rsidRDefault="004518DF" w:rsidP="004518DF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 podstawie niniejszej Umowy Licencjodawca jest zobowiązany do:</w:t>
      </w:r>
    </w:p>
    <w:p w:rsidR="004518DF" w:rsidRDefault="004518DF" w:rsidP="004518DF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Przekazania Licencjobiorcy wszelkich wskazówek, informacji i dokumentów niezbędnych do prawidłowego korzystania z Oznaczeń oraz Praw Wyłącznych objętych licencją;</w:t>
      </w:r>
    </w:p>
    <w:p w:rsidR="004518DF" w:rsidRDefault="004518DF" w:rsidP="009E40CB">
      <w:pPr>
        <w:pStyle w:val="a7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Podejmowania niezbędnych działań zmierzających do ochrony przysługujących Licencjodawcy Oznaczeń oraz Praw Wyłącznych przeciwko osobom, których działania zagrażają bądź naruszają prawa do któregokolwiek z tych Oznaczeń lub Praw Wyłącznych na terenie Federacji Rosyjskiej oraz niezwłocznego informowania Licencjobiorcy o takich działaniach osób trzecich, o których Licencjodawca powziął wiarygodną wiadomość. </w:t>
      </w:r>
    </w:p>
    <w:p w:rsidR="009E40CB" w:rsidRDefault="009E40CB" w:rsidP="009E40CB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Każda ze Stron zobowiązuje się zachować w tajemnicy wszelkie informacje oraz dokumenty uzyskane od drugiej Strony w związku z zawarciem lub wykonaniem niniejszej Umowy i nie ujawniać tych informacji oraz dokumentów osobom trzecim bez uprzedniej zgody drugiej Strony, udzielonej w formie pisemnej pod rygorem nieważności. Obowiązek zachowania tajemnicy nie dotyczy przypadków, w których informacji żąda organ lub podmiot uprawniony do tego na podstawie obowiązujących przepisów. W przypadku jednak gdy informacji żąda od Licencjobiorcy uprawniony organ, Licencjobiorca zobowiązany jest niezwłocznie, nie później niż następnego dnia roboczego poinformować o tym fakcie Licencjodawcę we wszelkiej możliwej i dostępnej formie (telefonicznie, za pomocą faksu, pocztą elektroniczną, etc.)</w:t>
      </w:r>
      <w:r w:rsidR="009B6A09">
        <w:rPr>
          <w:rFonts w:ascii="Verdana" w:eastAsia="Times New Roman" w:hAnsi="Verdana" w:cs="Arial"/>
          <w:sz w:val="20"/>
          <w:szCs w:val="20"/>
          <w:lang w:eastAsia="pl-PL"/>
        </w:rPr>
        <w:t>, jak również udzielić Licencjodawcy wszelkich wyjaśnień związanych z celem i zakresem przekazania informacji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E40CB" w:rsidRDefault="009E40CB" w:rsidP="009E40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E40CB" w:rsidRPr="009E40CB" w:rsidRDefault="009E40CB" w:rsidP="009E40CB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E40C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Pr="009E40C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WYNAGRODZENIE ZA UDZIELENIE LICENCJI</w:t>
      </w:r>
    </w:p>
    <w:p w:rsidR="009E40CB" w:rsidRDefault="00995923" w:rsidP="009E40CB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 </w:t>
      </w:r>
      <w:r w:rsidR="00BC4858">
        <w:rPr>
          <w:rFonts w:ascii="Verdana" w:eastAsia="Times New Roman" w:hAnsi="Verdana" w:cs="Arial"/>
          <w:sz w:val="20"/>
          <w:szCs w:val="20"/>
          <w:lang w:eastAsia="pl-PL"/>
        </w:rPr>
        <w:t xml:space="preserve">tytułu wynagrodzenia za udzielenie licencji Licencjobiorca zapłaci Licencjobiorcy wynagrodzenie stanowiące </w:t>
      </w:r>
      <w:r w:rsidR="00BC4858" w:rsidRPr="00BC4858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</w:t>
      </w:r>
      <w:r w:rsidR="00BC4858">
        <w:rPr>
          <w:rFonts w:ascii="Verdana" w:eastAsia="Times New Roman" w:hAnsi="Verdana" w:cs="Arial"/>
          <w:sz w:val="20"/>
          <w:szCs w:val="20"/>
          <w:lang w:eastAsia="pl-PL"/>
        </w:rPr>
        <w:t xml:space="preserve">% (słownie: </w:t>
      </w:r>
      <w:r w:rsidR="00BC4858" w:rsidRPr="00BC4858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_________</w:t>
      </w:r>
      <w:r w:rsidR="00BC4858">
        <w:rPr>
          <w:rFonts w:ascii="Verdana" w:eastAsia="Times New Roman" w:hAnsi="Verdana" w:cs="Arial"/>
          <w:sz w:val="20"/>
          <w:szCs w:val="20"/>
          <w:lang w:eastAsia="pl-PL"/>
        </w:rPr>
        <w:t xml:space="preserve"> procent) przychodów netto </w:t>
      </w:r>
      <w:r w:rsidR="00BC4858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(bez podatku VAT), uzyskiwanych za sprzedaży wyprodukowanych </w:t>
      </w:r>
      <w:r w:rsidR="003A5490">
        <w:rPr>
          <w:rFonts w:ascii="Verdana" w:eastAsia="Times New Roman" w:hAnsi="Verdana" w:cs="Arial"/>
          <w:sz w:val="20"/>
          <w:szCs w:val="20"/>
          <w:lang w:eastAsia="pl-PL"/>
        </w:rPr>
        <w:t>przez Licencjobiorcę</w:t>
      </w:r>
      <w:r w:rsidR="00BC4858">
        <w:rPr>
          <w:rFonts w:ascii="Verdana" w:eastAsia="Times New Roman" w:hAnsi="Verdana" w:cs="Arial"/>
          <w:sz w:val="20"/>
          <w:szCs w:val="20"/>
          <w:lang w:eastAsia="pl-PL"/>
        </w:rPr>
        <w:t xml:space="preserve"> produktów oznaczonych którymkolwiek z Oznaczeń lub wytworzonych według lub z zastosowaniem któregokolwiek z przedmiotów Praw Wyłącznych, stosownie do postanowień ustępów poniższych.</w:t>
      </w:r>
    </w:p>
    <w:p w:rsidR="00BC4858" w:rsidRDefault="00BC4858" w:rsidP="009E40CB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Wynagrodzenie płatne będzie w okresach </w:t>
      </w:r>
      <w:r w:rsidRPr="00BC4858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miesięcznych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W ciągu 14 dni kalendarzowych od upływu każdego </w:t>
      </w:r>
      <w:r w:rsidRPr="00BC4858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miesiąc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a Licencjobiorca przedstawi Licencjodawcy raport ze sprzedaży dokumentujący wysokość wpływów ze sprzedaży produktów wyprodukowanych </w:t>
      </w:r>
      <w:r w:rsidRPr="00BC4858">
        <w:rPr>
          <w:rFonts w:ascii="Verdana" w:eastAsia="Times New Roman" w:hAnsi="Verdana" w:cs="Arial"/>
          <w:sz w:val="20"/>
          <w:szCs w:val="20"/>
          <w:lang w:eastAsia="pl-PL"/>
        </w:rPr>
        <w:t>na terenie Federacji Rosyjskiej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wraz z wyliczeniem wynagrodzenia przypadającego Licencjodawcy za dany okres. Licencjodawca może w ciągu 2 (dwóch) tygodni od doręczenia mu raportu wraz z wyliczeniem wynagrodzenia zażądać wglądu do dokumentacji księgowej Licencjobiorcy, w celu potwierdzenia prawidłowości raportu i wyliczenia wynagrodzenia. Licencjodawca może korzystać w celu badania dokumentacji księgowej Licencjobiorcy także z usług osób trzecich, które zobowiąże do </w:t>
      </w:r>
      <w:r w:rsidR="00656D59">
        <w:rPr>
          <w:rFonts w:ascii="Verdana" w:eastAsia="Times New Roman" w:hAnsi="Verdana" w:cs="Arial"/>
          <w:sz w:val="20"/>
          <w:szCs w:val="20"/>
          <w:lang w:eastAsia="pl-PL"/>
        </w:rPr>
        <w:t xml:space="preserve">zachowania tajemnicy zgodnie z § 3 ust. 10niniejszej Umowy. </w:t>
      </w:r>
    </w:p>
    <w:p w:rsidR="00656D59" w:rsidRDefault="003A5490" w:rsidP="009E40CB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Podstawą do sporządzenia raportu i wyliczenia wynagrodzenia jest sprzedaż produktów Licencjobiorcy wyprodukowanych przez Licencjobiorcę, noszący którekolwiek z Oznaczeń lub wytworzonych według przedmiotu Prawa Wyłącznego. Użycie dla danego produktu więcej niż jednego Oznaczenia lub przedmiotu Prawa Wyłącznego podlega jednokrotnej opłacie licencyjnej. </w:t>
      </w:r>
    </w:p>
    <w:p w:rsidR="003A5490" w:rsidRDefault="003A5490" w:rsidP="009E40CB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Wynagrodzenie za dany </w:t>
      </w:r>
      <w:r w:rsidRPr="003A5490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miesiąc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płatne będzie na podstawie prawidłowo sporządzonej i doręczonej Licencjobiorcy faktury wystawionej przez Licencjobiorcę, na podstawie obowiązujących przepisów w zakresie VAT, nie wcześniej niż po upływie </w:t>
      </w:r>
      <w:r w:rsidRPr="003A5490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6 (sześciu)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tygodni od zakończenia danego miesiąca, sporządzonej na podstawie raportu i wyliczenia wynagrodzenia, o których mowa w ust. 1-3 powyżej, w terminie </w:t>
      </w:r>
      <w:r w:rsidRPr="003A5490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30 (trzydziestu)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dnia od dnia doręczenia Licencjobiorcy prawidłowej faktury, przelewem na rachunek bankowy wskazany w treści faktury. </w:t>
      </w:r>
    </w:p>
    <w:p w:rsidR="003A5490" w:rsidRDefault="003A5490" w:rsidP="009E40CB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Licencjobiorca upoważnia Licencjodawcę do wystawiania faktur na podstawie niniejszej Umowy bez podpisu upoważnionego przedstawiciela Licencjobiorcy i przesyłania faktur w formie elektronicznej na adres e-mail: </w:t>
      </w:r>
      <w:r w:rsidRPr="003A5490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___________________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033792" w:rsidRDefault="00033792" w:rsidP="009E40CB">
      <w:pPr>
        <w:pStyle w:val="a7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Wszelkie koszty związane z wykonaniem niniejszej Umowy, z wyjątkiem kosztów zachowania tytułu Ochrony lub Praw Wyłącznych, ponosi Licencjobiorca. </w:t>
      </w:r>
    </w:p>
    <w:p w:rsidR="00033792" w:rsidRDefault="00033792" w:rsidP="00033792">
      <w:pPr>
        <w:overflowPunct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33792" w:rsidRDefault="00033792" w:rsidP="00033792">
      <w:pPr>
        <w:overflowPunct w:val="0"/>
        <w:autoSpaceDE w:val="0"/>
        <w:autoSpaceDN w:val="0"/>
        <w:adjustRightInd w:val="0"/>
        <w:spacing w:after="120" w:line="240" w:lineRule="auto"/>
        <w:ind w:left="66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3379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5</w:t>
      </w:r>
      <w:r w:rsidRPr="0003379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ROZWIĄZANIE UMOWY</w:t>
      </w:r>
    </w:p>
    <w:p w:rsidR="00033792" w:rsidRDefault="00033792" w:rsidP="00411B20">
      <w:pPr>
        <w:pStyle w:val="a7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Niniejsza Umowa może zostać rozwiązana za porozumieniem Stron lub za wypowiedzeniem przez którąkolwiek ze Stron, w stosunku do wszystkich lub niektórych Oznaczeń lub Praw Wyłącznych, dokonanym na piśmie pod rygorem nieważności. Okres wypowiedzenia wynosi </w:t>
      </w:r>
      <w:r w:rsidRPr="00033792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180 (sto osiemdziesiąt) dni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Umowa ulega rozwiązaniu z końcem miesiąca kalendarzowego, w którym upłynął okres wypowiedzenia.  </w:t>
      </w:r>
    </w:p>
    <w:p w:rsidR="00527D87" w:rsidRDefault="00527D87" w:rsidP="00411B20">
      <w:pPr>
        <w:pStyle w:val="a7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naruszenia przez którąkolwiek ze Stron zobowiązań wynikających </w:t>
      </w:r>
      <w:r w:rsidR="00411B20">
        <w:rPr>
          <w:rFonts w:ascii="Verdana" w:eastAsia="Times New Roman" w:hAnsi="Verdana" w:cs="Arial"/>
          <w:sz w:val="20"/>
          <w:szCs w:val="20"/>
          <w:lang w:eastAsia="pl-PL"/>
        </w:rPr>
        <w:t xml:space="preserve">z niniejszej Umowy, Strona wezwie drugą Stronę, winną naruszenia, do zaniechania naruszeń, wskazując rodzaj naruszenia i wyznaczając jej termin nie krótszy niż 7 (siedem) dni do zaniechania naruszeń. </w:t>
      </w:r>
    </w:p>
    <w:p w:rsidR="00411B20" w:rsidRDefault="00411B20" w:rsidP="00411B20">
      <w:pPr>
        <w:pStyle w:val="a7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Jeżeli Strona dopuszczająca się naruszenia nie zaniecha naruszenia w terminie określonym w ust. 2 powyżej, druga Strona będzie uprawniona do wypowiedzenia Umowy ze skutkiem natychmiastowym. </w:t>
      </w:r>
    </w:p>
    <w:p w:rsidR="00411B20" w:rsidRPr="00033792" w:rsidRDefault="00411B20" w:rsidP="00411B20">
      <w:pPr>
        <w:pStyle w:val="a7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przypadku rozwiązania niniejszej Umowy bądź wygaśnięcia licencji z jakiejkolwiek przyczyny Licencjobiorca zobowiązany jest do zaprzestania korzystania z Oznaczeń oraz Praw Wyłącznych. W razie wypowiedzenia Umowy w odniesienie do niektórych z Oznaczeń lub Praw Wyłącznych</w:t>
      </w:r>
      <w:r w:rsidR="00813B33">
        <w:rPr>
          <w:rFonts w:ascii="Verdana" w:eastAsia="Times New Roman" w:hAnsi="Verdana" w:cs="Arial"/>
          <w:sz w:val="20"/>
          <w:szCs w:val="20"/>
          <w:lang w:eastAsia="pl-PL"/>
        </w:rPr>
        <w:t>, Licencjobiorca zobowiązany jest do zaprzestania korzystania z Oznaczeń lub Praw Wyłącznych, kt</w:t>
      </w:r>
      <w:r w:rsidR="00577C26">
        <w:rPr>
          <w:rFonts w:ascii="Verdana" w:eastAsia="Times New Roman" w:hAnsi="Verdana" w:cs="Arial"/>
          <w:sz w:val="20"/>
          <w:szCs w:val="20"/>
          <w:lang w:eastAsia="pl-PL"/>
        </w:rPr>
        <w:t xml:space="preserve">órych wypowiedzenie dotyczy, z dniem w którym umowa uległa rozwiązaniu w tym zakresie. Licencjobiorca uprawniony jest jednak do sprzedaży produktów, na które Oznaczenie naniesiono lub wytworzonych z </w:t>
      </w:r>
      <w:r w:rsidR="00577C2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wykorzystaniem Praw Wyłącznych, przed datą rozwiązania Umowy. W takim przypadku Licencjodawcy przysługuje wynagrodzenie na warunkach wskazanych w § 4 Umowy. </w:t>
      </w:r>
    </w:p>
    <w:p w:rsidR="00EC1D79" w:rsidRDefault="00EC1D79" w:rsidP="00924AC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77C26" w:rsidRDefault="00577C26" w:rsidP="00577C26">
      <w:pPr>
        <w:overflowPunct w:val="0"/>
        <w:autoSpaceDE w:val="0"/>
        <w:autoSpaceDN w:val="0"/>
        <w:adjustRightInd w:val="0"/>
        <w:spacing w:after="120" w:line="240" w:lineRule="auto"/>
        <w:ind w:left="66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03379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Pr="0003379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PRAWO WŁAŚCIWE. JURYSDYKCJA</w:t>
      </w:r>
    </w:p>
    <w:p w:rsidR="00577C26" w:rsidRDefault="00577C26" w:rsidP="00577C2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Niniejsza Umowa podlega prawu Polski i według tego prawa powinna być interpretowana</w:t>
      </w:r>
      <w:r w:rsidR="001D22F0">
        <w:rPr>
          <w:rFonts w:ascii="Verdana" w:eastAsia="Times New Roman" w:hAnsi="Verdana" w:cs="Arial"/>
          <w:sz w:val="20"/>
          <w:szCs w:val="20"/>
          <w:lang w:eastAsia="pl-PL"/>
        </w:rPr>
        <w:t>, a w sprawach w niej uregulowanych maja w szczególności zastosowanie przepisy ustawy z dnia 30 czerwca 2000 r.  Prawo własności przemysłowej oraz Kodeks Cywilny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:rsidR="001D22F0" w:rsidRDefault="00577C26" w:rsidP="00577C2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Wszelkie spory wynikające z niniejszej Umowy, Strony poddają jurysdykcji sądu właściwego dla siedziby Licencjobiorcy, tj. właściwego miejscowo oraz rzeczowo</w:t>
      </w:r>
      <w:r w:rsidR="001D22F0">
        <w:rPr>
          <w:rFonts w:ascii="Verdana" w:eastAsia="Times New Roman" w:hAnsi="Verdana" w:cs="Arial"/>
          <w:sz w:val="20"/>
          <w:szCs w:val="20"/>
          <w:lang w:eastAsia="pl-PL"/>
        </w:rPr>
        <w:t xml:space="preserve"> polskiego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D22F0">
        <w:rPr>
          <w:rFonts w:ascii="Verdana" w:eastAsia="Times New Roman" w:hAnsi="Verdana" w:cs="Arial"/>
          <w:sz w:val="20"/>
          <w:szCs w:val="20"/>
          <w:lang w:eastAsia="pl-PL"/>
        </w:rPr>
        <w:t>sądu powszechnego.</w:t>
      </w:r>
    </w:p>
    <w:p w:rsidR="00577C26" w:rsidRDefault="001D22F0" w:rsidP="00577C26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Wszelkie spory wynikające z niniejszej Umowy Strony zobowiązują się rozwiązać polubownie. W przypadku, gdy Strony nie będą w stanie polubownie rozwiązać sporu w ciągu 7 dni od jego zaistnienia, każda ze Stron uprawniona jest do wystąpienia do sądu, według właściwości wskazanej w ust. 2 powyżej. </w:t>
      </w:r>
    </w:p>
    <w:p w:rsidR="001D22F0" w:rsidRPr="00577C26" w:rsidRDefault="001D22F0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77C26" w:rsidRDefault="00577C26" w:rsidP="00577C26">
      <w:pPr>
        <w:overflowPunct w:val="0"/>
        <w:autoSpaceDE w:val="0"/>
        <w:autoSpaceDN w:val="0"/>
        <w:adjustRightInd w:val="0"/>
        <w:spacing w:after="120" w:line="240" w:lineRule="auto"/>
        <w:ind w:left="66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77C2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7</w:t>
      </w:r>
      <w:r w:rsidRPr="00577C2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POSTANOWIENIA KOŃCOWE</w:t>
      </w:r>
    </w:p>
    <w:p w:rsidR="001D22F0" w:rsidRDefault="001D22F0" w:rsidP="001D22F0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D22F0">
        <w:rPr>
          <w:rFonts w:ascii="Verdana" w:eastAsia="Times New Roman" w:hAnsi="Verdana" w:cs="Arial"/>
          <w:sz w:val="20"/>
          <w:szCs w:val="20"/>
          <w:lang w:eastAsia="pl-PL"/>
        </w:rPr>
        <w:t xml:space="preserve">Wszelkie zmiany i uzupełnienia niniejszej Umowy wymagają zachowania formy pisemnej pod rygorem nieważności. </w:t>
      </w:r>
    </w:p>
    <w:p w:rsidR="001D22F0" w:rsidRDefault="001D22F0" w:rsidP="001D22F0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Umowa została sporządzona w polskiej i rosyjskiej wersji językowej. W przypadku rozbieżności pomiędzy polską a rosyjską wersją językową, zastosowanie znajdzie polska wersja językowa. </w:t>
      </w:r>
    </w:p>
    <w:p w:rsidR="001D22F0" w:rsidRDefault="001D22F0" w:rsidP="001D22F0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Umowa została sporządzona w czterech jednobrzmiących egzemplarzach, po jednym dla każdej ze Stron oraz dwa egzemplarze do ewentualnego zgłoszenia Umowy do właściwych urzędów lub rejestrów. </w:t>
      </w:r>
    </w:p>
    <w:p w:rsidR="001D22F0" w:rsidRDefault="001D22F0" w:rsidP="001D22F0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Integralną część Umowy stanowią następujące załączniki:</w:t>
      </w:r>
    </w:p>
    <w:p w:rsidR="001D22F0" w:rsidRDefault="001D22F0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1 – wykaz Oznaczeń objętych Umową;</w:t>
      </w:r>
    </w:p>
    <w:p w:rsidR="001D22F0" w:rsidRDefault="001D22F0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2 – kopie świadectw ochronnych dla Oznaczeń;</w:t>
      </w:r>
    </w:p>
    <w:p w:rsidR="001D22F0" w:rsidRDefault="001D22F0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3 – wykaz Praw Wyłącznych;</w:t>
      </w:r>
    </w:p>
    <w:p w:rsidR="001D22F0" w:rsidRDefault="001D22F0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4 – kopie świadectw udzielenia Praw Wyłącznych;</w:t>
      </w:r>
    </w:p>
    <w:p w:rsidR="001D22F0" w:rsidRDefault="001D22F0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5 </w:t>
      </w:r>
      <w:r w:rsidR="003055C7">
        <w:rPr>
          <w:rFonts w:ascii="Verdana" w:eastAsia="Times New Roman" w:hAnsi="Verdana" w:cs="Arial"/>
          <w:sz w:val="20"/>
          <w:szCs w:val="20"/>
          <w:lang w:eastAsia="pl-PL"/>
        </w:rPr>
        <w:t>–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055C7">
        <w:rPr>
          <w:rFonts w:ascii="Verdana" w:eastAsia="Times New Roman" w:hAnsi="Verdana" w:cs="Arial"/>
          <w:sz w:val="20"/>
          <w:szCs w:val="20"/>
          <w:lang w:eastAsia="pl-PL"/>
        </w:rPr>
        <w:t>kopia odpisu z KRS Licencjodawcy;</w:t>
      </w:r>
    </w:p>
    <w:p w:rsidR="003055C7" w:rsidRDefault="003055C7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6 – kopia odpisu z KRS GPM sp. z o.o. z siedzibą w Balicach;</w:t>
      </w:r>
    </w:p>
    <w:p w:rsidR="003055C7" w:rsidRDefault="003055C7" w:rsidP="001D22F0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Załącznik nr 7 – kopia odpisu w rejestru Licencjobiorcy;</w:t>
      </w:r>
    </w:p>
    <w:p w:rsidR="00577C26" w:rsidRPr="006A0EEF" w:rsidRDefault="003055C7" w:rsidP="003055C7">
      <w:pPr>
        <w:pStyle w:val="a7"/>
        <w:overflowPunct w:val="0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8 – kopia umowy spółki Licencjobiorcy. </w:t>
      </w:r>
    </w:p>
    <w:p w:rsidR="00526B4F" w:rsidRPr="006A0EEF" w:rsidRDefault="00526B4F" w:rsidP="00924ACB">
      <w:pPr>
        <w:overflowPunct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76C84" w:rsidRPr="00C76C84" w:rsidRDefault="00C76C84" w:rsidP="00C76C84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C76C84">
        <w:rPr>
          <w:rFonts w:ascii="Verdana" w:hAnsi="Verdana" w:cs="Arial"/>
          <w:b/>
          <w:sz w:val="20"/>
          <w:szCs w:val="20"/>
        </w:rPr>
        <w:t>Za LICENCJODAWCĘ</w:t>
      </w:r>
    </w:p>
    <w:p w:rsidR="00C76C84" w:rsidRPr="00C76C84" w:rsidRDefault="00C76C84" w:rsidP="00C76C84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C76C84" w:rsidRPr="00C76C84" w:rsidRDefault="00C76C84" w:rsidP="00C76C84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C76C84" w:rsidRPr="00C76C84" w:rsidRDefault="00C76C84" w:rsidP="00C76C84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C76C84" w:rsidRPr="00C76C84" w:rsidRDefault="00C76C84" w:rsidP="00C76C84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C76C84">
        <w:rPr>
          <w:rFonts w:ascii="Verdana" w:hAnsi="Verdana" w:cs="Arial"/>
          <w:b/>
          <w:sz w:val="20"/>
          <w:szCs w:val="20"/>
        </w:rPr>
        <w:t>______________________</w:t>
      </w:r>
    </w:p>
    <w:p w:rsidR="00C76C84" w:rsidRPr="00C76C84" w:rsidRDefault="00C76C84" w:rsidP="00C76C84">
      <w:pPr>
        <w:spacing w:after="120"/>
        <w:jc w:val="center"/>
        <w:rPr>
          <w:rFonts w:ascii="Verdana" w:hAnsi="Verdana" w:cs="Arial"/>
          <w:i/>
          <w:sz w:val="20"/>
          <w:szCs w:val="20"/>
        </w:rPr>
      </w:pPr>
      <w:r w:rsidRPr="00C76C84">
        <w:rPr>
          <w:rFonts w:ascii="Verdana" w:hAnsi="Verdana" w:cs="Arial"/>
          <w:i/>
          <w:sz w:val="20"/>
          <w:szCs w:val="20"/>
        </w:rPr>
        <w:t>GPM sp. z o.o. – komplementariusz</w:t>
      </w:r>
    </w:p>
    <w:p w:rsidR="00357057" w:rsidRDefault="00C76C84" w:rsidP="00C76C84">
      <w:pPr>
        <w:spacing w:after="12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C76C84">
        <w:rPr>
          <w:rFonts w:ascii="Verdana" w:hAnsi="Verdana" w:cs="Arial"/>
          <w:i/>
          <w:sz w:val="20"/>
          <w:szCs w:val="20"/>
        </w:rPr>
        <w:t>reprezentowany przez Szczepana Buryło – Prezesa Zarządu komplementariusza</w:t>
      </w:r>
    </w:p>
    <w:p w:rsidR="00C76C84" w:rsidRDefault="00C76C84" w:rsidP="00C76C84">
      <w:pPr>
        <w:spacing w:after="120" w:line="240" w:lineRule="auto"/>
        <w:jc w:val="center"/>
        <w:rPr>
          <w:rFonts w:ascii="Verdana" w:hAnsi="Verdana" w:cs="Arial"/>
          <w:i/>
          <w:sz w:val="20"/>
          <w:szCs w:val="20"/>
        </w:rPr>
      </w:pPr>
    </w:p>
    <w:p w:rsidR="00C76C84" w:rsidRDefault="00C76C84" w:rsidP="00C76C84">
      <w:pPr>
        <w:spacing w:after="12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C76C84" w:rsidRPr="00C76C84" w:rsidRDefault="003055C7" w:rsidP="00C76C84">
      <w:pPr>
        <w:spacing w:after="12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</w:t>
      </w:r>
      <w:r w:rsidR="00C76C84" w:rsidRPr="00C76C84">
        <w:rPr>
          <w:rFonts w:ascii="Verdana" w:hAnsi="Verdana" w:cs="Arial"/>
          <w:b/>
          <w:i/>
          <w:sz w:val="20"/>
          <w:szCs w:val="20"/>
        </w:rPr>
        <w:t>a LICENCJO</w:t>
      </w:r>
      <w:r w:rsidR="00C76C84">
        <w:rPr>
          <w:rFonts w:ascii="Verdana" w:hAnsi="Verdana" w:cs="Arial"/>
          <w:b/>
          <w:i/>
          <w:sz w:val="20"/>
          <w:szCs w:val="20"/>
        </w:rPr>
        <w:t>BIORCĘ</w:t>
      </w:r>
    </w:p>
    <w:p w:rsidR="00C76C84" w:rsidRPr="00C76C84" w:rsidRDefault="00C76C84" w:rsidP="00C76C84">
      <w:pPr>
        <w:spacing w:after="12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C76C84" w:rsidRPr="00C76C84" w:rsidRDefault="00C76C84" w:rsidP="00C76C84">
      <w:pPr>
        <w:spacing w:after="12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C76C84" w:rsidRPr="00C76C84" w:rsidRDefault="00C76C84" w:rsidP="00C76C84">
      <w:pPr>
        <w:spacing w:after="12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C76C84" w:rsidRPr="00C76C84" w:rsidRDefault="00C76C84" w:rsidP="00C76C84">
      <w:pPr>
        <w:spacing w:after="12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C76C84">
        <w:rPr>
          <w:rFonts w:ascii="Verdana" w:hAnsi="Verdana" w:cs="Arial"/>
          <w:b/>
          <w:i/>
          <w:sz w:val="20"/>
          <w:szCs w:val="20"/>
        </w:rPr>
        <w:t>______________________</w:t>
      </w:r>
    </w:p>
    <w:p w:rsidR="00C76C84" w:rsidRPr="006A0EEF" w:rsidRDefault="00C76C84" w:rsidP="00C76C84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C76C84">
        <w:rPr>
          <w:rFonts w:ascii="Verdana" w:hAnsi="Verdana" w:cs="Arial"/>
          <w:i/>
          <w:sz w:val="20"/>
          <w:szCs w:val="20"/>
        </w:rPr>
        <w:t>Natali</w:t>
      </w:r>
      <w:r>
        <w:rPr>
          <w:rFonts w:ascii="Verdana" w:hAnsi="Verdana" w:cs="Arial"/>
          <w:i/>
          <w:sz w:val="20"/>
          <w:szCs w:val="20"/>
        </w:rPr>
        <w:t>a</w:t>
      </w:r>
      <w:r w:rsidRPr="00C76C84">
        <w:rPr>
          <w:rFonts w:ascii="Verdana" w:hAnsi="Verdana" w:cs="Arial"/>
          <w:i/>
          <w:sz w:val="20"/>
          <w:szCs w:val="20"/>
        </w:rPr>
        <w:t xml:space="preserve"> Michajłown</w:t>
      </w:r>
      <w:r>
        <w:rPr>
          <w:rFonts w:ascii="Verdana" w:hAnsi="Verdana" w:cs="Arial"/>
          <w:i/>
          <w:sz w:val="20"/>
          <w:szCs w:val="20"/>
        </w:rPr>
        <w:t>a Titowa – dyrektor generalny</w:t>
      </w:r>
    </w:p>
    <w:sectPr w:rsidR="00C76C84" w:rsidRPr="006A0EEF" w:rsidSect="00C213D7">
      <w:footerReference w:type="even" r:id="rId7"/>
      <w:footerReference w:type="default" r:id="rId8"/>
      <w:footerReference w:type="first" r:id="rId9"/>
      <w:pgSz w:w="11906" w:h="16838"/>
      <w:pgMar w:top="1276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88" w:rsidRDefault="00AF1088">
      <w:pPr>
        <w:spacing w:after="0" w:line="240" w:lineRule="auto"/>
      </w:pPr>
      <w:r>
        <w:separator/>
      </w:r>
    </w:p>
  </w:endnote>
  <w:endnote w:type="continuationSeparator" w:id="0">
    <w:p w:rsidR="00AF1088" w:rsidRDefault="00AF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51" w:rsidRDefault="00F40C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D51" w:rsidRDefault="00AF108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51" w:rsidRDefault="00F40C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980">
      <w:rPr>
        <w:noProof/>
      </w:rPr>
      <w:t>6</w:t>
    </w:r>
    <w:r>
      <w:fldChar w:fldCharType="end"/>
    </w:r>
  </w:p>
  <w:p w:rsidR="00F93D51" w:rsidRDefault="00AF108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51" w:rsidRPr="00D77F78" w:rsidRDefault="00F40C8F" w:rsidP="0020498A">
    <w:pPr>
      <w:pStyle w:val="a3"/>
      <w:jc w:val="center"/>
      <w:rPr>
        <w:rFonts w:cs="Arial"/>
        <w:sz w:val="22"/>
        <w:szCs w:val="22"/>
      </w:rPr>
    </w:pPr>
    <w:r w:rsidRPr="00D77F78">
      <w:rPr>
        <w:rFonts w:cs="Arial"/>
        <w:sz w:val="22"/>
        <w:szCs w:val="22"/>
      </w:rPr>
      <w:fldChar w:fldCharType="begin"/>
    </w:r>
    <w:r w:rsidRPr="00D77F78">
      <w:rPr>
        <w:rFonts w:cs="Arial"/>
        <w:sz w:val="22"/>
        <w:szCs w:val="22"/>
      </w:rPr>
      <w:instrText xml:space="preserve"> PAGE   \* MERGEFORMAT </w:instrText>
    </w:r>
    <w:r w:rsidRPr="00D77F78">
      <w:rPr>
        <w:rFonts w:cs="Arial"/>
        <w:sz w:val="22"/>
        <w:szCs w:val="22"/>
      </w:rPr>
      <w:fldChar w:fldCharType="separate"/>
    </w:r>
    <w:r w:rsidR="00A71980">
      <w:rPr>
        <w:rFonts w:cs="Arial"/>
        <w:noProof/>
        <w:sz w:val="22"/>
        <w:szCs w:val="22"/>
      </w:rPr>
      <w:t>1</w:t>
    </w:r>
    <w:r w:rsidRPr="00D77F78">
      <w:rPr>
        <w:rFonts w:cs="Arial"/>
        <w:sz w:val="22"/>
        <w:szCs w:val="22"/>
      </w:rPr>
      <w:fldChar w:fldCharType="end"/>
    </w:r>
  </w:p>
  <w:p w:rsidR="00F93D51" w:rsidRDefault="00AF10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88" w:rsidRDefault="00AF1088">
      <w:pPr>
        <w:spacing w:after="0" w:line="240" w:lineRule="auto"/>
      </w:pPr>
      <w:r>
        <w:separator/>
      </w:r>
    </w:p>
  </w:footnote>
  <w:footnote w:type="continuationSeparator" w:id="0">
    <w:p w:rsidR="00AF1088" w:rsidRDefault="00AF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92B"/>
    <w:multiLevelType w:val="hybridMultilevel"/>
    <w:tmpl w:val="5350A154"/>
    <w:lvl w:ilvl="0" w:tplc="810ABA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EC3279"/>
    <w:multiLevelType w:val="hybridMultilevel"/>
    <w:tmpl w:val="3000F83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1786778"/>
    <w:multiLevelType w:val="multilevel"/>
    <w:tmpl w:val="6640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8642B"/>
    <w:multiLevelType w:val="hybridMultilevel"/>
    <w:tmpl w:val="0FC4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184"/>
    <w:multiLevelType w:val="hybridMultilevel"/>
    <w:tmpl w:val="A0B85C24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A77BA6"/>
    <w:multiLevelType w:val="hybridMultilevel"/>
    <w:tmpl w:val="BDA2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EE7354"/>
    <w:multiLevelType w:val="hybridMultilevel"/>
    <w:tmpl w:val="6BBEBE3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5A720C3"/>
    <w:multiLevelType w:val="hybridMultilevel"/>
    <w:tmpl w:val="1D44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A46"/>
    <w:multiLevelType w:val="hybridMultilevel"/>
    <w:tmpl w:val="91A0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2F62"/>
    <w:multiLevelType w:val="hybridMultilevel"/>
    <w:tmpl w:val="CDFCD8EC"/>
    <w:lvl w:ilvl="0" w:tplc="F93AC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2E07"/>
    <w:multiLevelType w:val="hybridMultilevel"/>
    <w:tmpl w:val="0A6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0199"/>
    <w:multiLevelType w:val="hybridMultilevel"/>
    <w:tmpl w:val="6B78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3EBA"/>
    <w:multiLevelType w:val="multilevel"/>
    <w:tmpl w:val="E38270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MS Mincho" w:hint="default"/>
        <w:b w:val="0"/>
      </w:rPr>
    </w:lvl>
  </w:abstractNum>
  <w:abstractNum w:abstractNumId="13" w15:restartNumberingAfterBreak="0">
    <w:nsid w:val="51BF5920"/>
    <w:multiLevelType w:val="hybridMultilevel"/>
    <w:tmpl w:val="6B78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0F36"/>
    <w:multiLevelType w:val="hybridMultilevel"/>
    <w:tmpl w:val="0A6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F1D54"/>
    <w:multiLevelType w:val="hybridMultilevel"/>
    <w:tmpl w:val="CD2EFE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C00B2E"/>
    <w:multiLevelType w:val="multilevel"/>
    <w:tmpl w:val="CE5E63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66A75037"/>
    <w:multiLevelType w:val="hybridMultilevel"/>
    <w:tmpl w:val="06AEC3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11298B"/>
    <w:multiLevelType w:val="hybridMultilevel"/>
    <w:tmpl w:val="0A6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957A9"/>
    <w:multiLevelType w:val="hybridMultilevel"/>
    <w:tmpl w:val="755E0EC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3A72C4D"/>
    <w:multiLevelType w:val="hybridMultilevel"/>
    <w:tmpl w:val="A198D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892DB6"/>
    <w:multiLevelType w:val="multilevel"/>
    <w:tmpl w:val="66400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9E30F9"/>
    <w:multiLevelType w:val="hybridMultilevel"/>
    <w:tmpl w:val="0D3E7F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18"/>
  </w:num>
  <w:num w:numId="7">
    <w:abstractNumId w:val="14"/>
  </w:num>
  <w:num w:numId="8">
    <w:abstractNumId w:val="10"/>
  </w:num>
  <w:num w:numId="9">
    <w:abstractNumId w:val="21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22"/>
  </w:num>
  <w:num w:numId="15">
    <w:abstractNumId w:val="4"/>
  </w:num>
  <w:num w:numId="16">
    <w:abstractNumId w:val="15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17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F"/>
    <w:rsid w:val="00033792"/>
    <w:rsid w:val="001C0A11"/>
    <w:rsid w:val="001D22F0"/>
    <w:rsid w:val="0022496A"/>
    <w:rsid w:val="0022698A"/>
    <w:rsid w:val="002F053D"/>
    <w:rsid w:val="003055C7"/>
    <w:rsid w:val="003A5490"/>
    <w:rsid w:val="003F54CA"/>
    <w:rsid w:val="00411B20"/>
    <w:rsid w:val="004236B8"/>
    <w:rsid w:val="004518DF"/>
    <w:rsid w:val="00455777"/>
    <w:rsid w:val="004D3181"/>
    <w:rsid w:val="004F5380"/>
    <w:rsid w:val="00526B4F"/>
    <w:rsid w:val="00527D87"/>
    <w:rsid w:val="00575E03"/>
    <w:rsid w:val="00577C26"/>
    <w:rsid w:val="005E0500"/>
    <w:rsid w:val="005F1026"/>
    <w:rsid w:val="006532C3"/>
    <w:rsid w:val="00656D59"/>
    <w:rsid w:val="006A0EEF"/>
    <w:rsid w:val="00813B33"/>
    <w:rsid w:val="00900666"/>
    <w:rsid w:val="00924ACB"/>
    <w:rsid w:val="00966620"/>
    <w:rsid w:val="00995923"/>
    <w:rsid w:val="009B6A09"/>
    <w:rsid w:val="009C4853"/>
    <w:rsid w:val="009E40CB"/>
    <w:rsid w:val="00A13CD6"/>
    <w:rsid w:val="00A71980"/>
    <w:rsid w:val="00AF1088"/>
    <w:rsid w:val="00BC4858"/>
    <w:rsid w:val="00C63B72"/>
    <w:rsid w:val="00C76C84"/>
    <w:rsid w:val="00D022D6"/>
    <w:rsid w:val="00EB7248"/>
    <w:rsid w:val="00EC1D79"/>
    <w:rsid w:val="00F40C8F"/>
    <w:rsid w:val="00F641B6"/>
    <w:rsid w:val="00F85737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FF18-7A2C-46E3-87AA-D8C5EBD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6B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4">
    <w:name w:val="Нижний колонтитул Знак"/>
    <w:basedOn w:val="a0"/>
    <w:link w:val="a3"/>
    <w:uiPriority w:val="99"/>
    <w:rsid w:val="00526B4F"/>
    <w:rPr>
      <w:rFonts w:ascii="Arial" w:eastAsia="Times New Roman" w:hAnsi="Arial" w:cs="Times New Roman"/>
      <w:sz w:val="20"/>
      <w:szCs w:val="20"/>
      <w:lang w:eastAsia="pl-PL"/>
    </w:rPr>
  </w:style>
  <w:style w:type="character" w:styleId="a5">
    <w:name w:val="page number"/>
    <w:basedOn w:val="a0"/>
    <w:rsid w:val="00526B4F"/>
  </w:style>
  <w:style w:type="table" w:styleId="a6">
    <w:name w:val="Table Grid"/>
    <w:basedOn w:val="a1"/>
    <w:uiPriority w:val="59"/>
    <w:rsid w:val="00526B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22D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518D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518D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518D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1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</cp:revision>
  <cp:lastPrinted>2017-06-16T14:35:00Z</cp:lastPrinted>
  <dcterms:created xsi:type="dcterms:W3CDTF">2018-05-16T12:14:00Z</dcterms:created>
  <dcterms:modified xsi:type="dcterms:W3CDTF">2018-05-16T12:14:00Z</dcterms:modified>
</cp:coreProperties>
</file>