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7C47FF" w14:textId="77777777" w:rsidR="005D3FE7" w:rsidRPr="006A2FF6" w:rsidRDefault="005D3FE7" w:rsidP="005D3FE7">
      <w:pPr>
        <w:widowControl w:val="0"/>
        <w:ind w:firstLine="709"/>
        <w:rPr>
          <w:sz w:val="28"/>
          <w:szCs w:val="28"/>
          <w:lang w:val="en-US"/>
        </w:rPr>
      </w:pPr>
      <w:r w:rsidRPr="006A2FF6">
        <w:rPr>
          <w:b/>
          <w:sz w:val="28"/>
          <w:szCs w:val="28"/>
        </w:rPr>
        <w:t>УДК</w:t>
      </w:r>
      <w:r w:rsidRPr="006A2FF6">
        <w:rPr>
          <w:b/>
          <w:sz w:val="28"/>
          <w:szCs w:val="28"/>
          <w:lang w:val="en-US"/>
        </w:rPr>
        <w:t xml:space="preserve"> 339.56.</w:t>
      </w:r>
      <w:r w:rsidRPr="005D3FE7">
        <w:rPr>
          <w:b/>
          <w:sz w:val="28"/>
          <w:szCs w:val="28"/>
          <w:lang w:val="en-US"/>
        </w:rPr>
        <w:t>055</w:t>
      </w:r>
      <w:r w:rsidRPr="006A2FF6">
        <w:rPr>
          <w:b/>
          <w:sz w:val="28"/>
          <w:szCs w:val="28"/>
          <w:lang w:val="en-US"/>
        </w:rPr>
        <w:t xml:space="preserve"> (476)</w:t>
      </w:r>
    </w:p>
    <w:p w14:paraId="3BE2FAF2" w14:textId="77777777" w:rsidR="005D3FE7" w:rsidRPr="001243BC" w:rsidRDefault="005D3FE7" w:rsidP="005D3FE7">
      <w:pPr>
        <w:widowControl w:val="0"/>
        <w:spacing w:line="360" w:lineRule="auto"/>
        <w:jc w:val="right"/>
        <w:rPr>
          <w:sz w:val="28"/>
          <w:szCs w:val="28"/>
          <w:lang w:val="en-US"/>
        </w:rPr>
      </w:pPr>
      <w:r w:rsidRPr="001243BC">
        <w:rPr>
          <w:sz w:val="28"/>
          <w:szCs w:val="28"/>
          <w:lang w:val="en-US"/>
        </w:rPr>
        <w:t>Urish I.V.</w:t>
      </w:r>
    </w:p>
    <w:p w14:paraId="0DC1F2C1" w14:textId="77777777" w:rsidR="005D3FE7" w:rsidRPr="001243BC" w:rsidRDefault="005D3FE7" w:rsidP="005D3FE7">
      <w:pPr>
        <w:widowControl w:val="0"/>
        <w:spacing w:line="360" w:lineRule="auto"/>
        <w:jc w:val="right"/>
        <w:rPr>
          <w:sz w:val="28"/>
          <w:szCs w:val="28"/>
          <w:lang w:val="en-US"/>
        </w:rPr>
      </w:pPr>
      <w:r w:rsidRPr="001243BC">
        <w:rPr>
          <w:sz w:val="28"/>
          <w:szCs w:val="28"/>
          <w:lang w:val="en-US"/>
        </w:rPr>
        <w:t>candidate of economic Sciences, associate Professor</w:t>
      </w:r>
    </w:p>
    <w:p w14:paraId="648A8B9C" w14:textId="77777777" w:rsidR="005D3FE7" w:rsidRPr="001243BC" w:rsidRDefault="005D3FE7" w:rsidP="005D3FE7">
      <w:pPr>
        <w:widowControl w:val="0"/>
        <w:spacing w:line="360" w:lineRule="auto"/>
        <w:jc w:val="right"/>
        <w:rPr>
          <w:sz w:val="28"/>
          <w:szCs w:val="28"/>
          <w:lang w:val="en-US"/>
        </w:rPr>
      </w:pPr>
      <w:r w:rsidRPr="001243BC">
        <w:rPr>
          <w:sz w:val="28"/>
          <w:szCs w:val="28"/>
          <w:lang w:val="en-US"/>
        </w:rPr>
        <w:t>Belarusian state University of Economics</w:t>
      </w:r>
    </w:p>
    <w:p w14:paraId="321AD409" w14:textId="77777777" w:rsidR="005D3FE7" w:rsidRPr="001243BC" w:rsidRDefault="005D3FE7" w:rsidP="005D3FE7">
      <w:pPr>
        <w:widowControl w:val="0"/>
        <w:spacing w:line="360" w:lineRule="auto"/>
        <w:jc w:val="right"/>
        <w:rPr>
          <w:sz w:val="28"/>
          <w:szCs w:val="28"/>
          <w:lang w:val="en-US"/>
        </w:rPr>
      </w:pPr>
      <w:r w:rsidRPr="001243BC">
        <w:rPr>
          <w:sz w:val="28"/>
          <w:szCs w:val="28"/>
        </w:rPr>
        <w:t>Уриш</w:t>
      </w:r>
      <w:r w:rsidRPr="001243BC">
        <w:rPr>
          <w:sz w:val="28"/>
          <w:szCs w:val="28"/>
          <w:lang w:val="en-US"/>
        </w:rPr>
        <w:t xml:space="preserve"> </w:t>
      </w:r>
      <w:r w:rsidRPr="001243BC">
        <w:rPr>
          <w:sz w:val="28"/>
          <w:szCs w:val="28"/>
        </w:rPr>
        <w:t>И</w:t>
      </w:r>
      <w:r w:rsidRPr="001243BC">
        <w:rPr>
          <w:sz w:val="28"/>
          <w:szCs w:val="28"/>
          <w:lang w:val="en-US"/>
        </w:rPr>
        <w:t>.</w:t>
      </w:r>
      <w:r w:rsidRPr="001243BC">
        <w:rPr>
          <w:sz w:val="28"/>
          <w:szCs w:val="28"/>
        </w:rPr>
        <w:t>В</w:t>
      </w:r>
      <w:r w:rsidRPr="001243BC">
        <w:rPr>
          <w:sz w:val="28"/>
          <w:szCs w:val="28"/>
          <w:lang w:val="en-US"/>
        </w:rPr>
        <w:t>.</w:t>
      </w:r>
    </w:p>
    <w:p w14:paraId="4A453A7B" w14:textId="77777777" w:rsidR="005D3FE7" w:rsidRPr="001243BC" w:rsidRDefault="005D3FE7" w:rsidP="005D3FE7">
      <w:pPr>
        <w:widowControl w:val="0"/>
        <w:spacing w:line="360" w:lineRule="auto"/>
        <w:jc w:val="right"/>
        <w:rPr>
          <w:sz w:val="28"/>
          <w:szCs w:val="28"/>
        </w:rPr>
      </w:pPr>
      <w:r w:rsidRPr="001243BC">
        <w:rPr>
          <w:sz w:val="28"/>
          <w:szCs w:val="28"/>
        </w:rPr>
        <w:t>кандидат</w:t>
      </w:r>
      <w:r w:rsidRPr="005D3FE7">
        <w:rPr>
          <w:sz w:val="28"/>
          <w:szCs w:val="28"/>
        </w:rPr>
        <w:t xml:space="preserve"> </w:t>
      </w:r>
      <w:r w:rsidRPr="001243BC">
        <w:rPr>
          <w:sz w:val="28"/>
          <w:szCs w:val="28"/>
        </w:rPr>
        <w:t>экономических наук, доцент</w:t>
      </w:r>
    </w:p>
    <w:p w14:paraId="5CE15906" w14:textId="77777777" w:rsidR="005D3FE7" w:rsidRPr="001243BC" w:rsidRDefault="005D3FE7" w:rsidP="005D3FE7">
      <w:pPr>
        <w:widowControl w:val="0"/>
        <w:spacing w:line="360" w:lineRule="auto"/>
        <w:jc w:val="right"/>
        <w:rPr>
          <w:sz w:val="28"/>
          <w:szCs w:val="28"/>
        </w:rPr>
      </w:pPr>
      <w:r w:rsidRPr="001243BC">
        <w:rPr>
          <w:sz w:val="28"/>
          <w:szCs w:val="28"/>
        </w:rPr>
        <w:t>Белорусский государственный экономический университет</w:t>
      </w:r>
    </w:p>
    <w:p w14:paraId="4C211AF0" w14:textId="77777777" w:rsidR="005D3FE7" w:rsidRPr="001243BC" w:rsidRDefault="005D3FE7" w:rsidP="005D3FE7">
      <w:pPr>
        <w:widowControl w:val="0"/>
        <w:spacing w:line="360" w:lineRule="auto"/>
        <w:jc w:val="right"/>
        <w:rPr>
          <w:sz w:val="28"/>
          <w:szCs w:val="28"/>
          <w:lang w:val="en-US"/>
        </w:rPr>
      </w:pPr>
      <w:r w:rsidRPr="001243BC">
        <w:rPr>
          <w:sz w:val="28"/>
          <w:szCs w:val="28"/>
          <w:lang w:val="en-US"/>
        </w:rPr>
        <w:t>Shavruk Y.A.</w:t>
      </w:r>
    </w:p>
    <w:p w14:paraId="2D134846" w14:textId="77777777" w:rsidR="005D3FE7" w:rsidRPr="001243BC" w:rsidRDefault="005D3FE7" w:rsidP="005D3FE7">
      <w:pPr>
        <w:widowControl w:val="0"/>
        <w:spacing w:line="360" w:lineRule="auto"/>
        <w:jc w:val="right"/>
        <w:rPr>
          <w:sz w:val="28"/>
          <w:szCs w:val="28"/>
          <w:lang w:val="en-US"/>
        </w:rPr>
      </w:pPr>
      <w:r w:rsidRPr="001243BC">
        <w:rPr>
          <w:sz w:val="28"/>
          <w:szCs w:val="28"/>
          <w:lang w:val="en-US"/>
        </w:rPr>
        <w:t>candidate of economic Sciences, associate Professor</w:t>
      </w:r>
    </w:p>
    <w:p w14:paraId="57C86C29" w14:textId="77777777" w:rsidR="005D3FE7" w:rsidRPr="001243BC" w:rsidRDefault="005D3FE7" w:rsidP="005D3FE7">
      <w:pPr>
        <w:widowControl w:val="0"/>
        <w:spacing w:line="360" w:lineRule="auto"/>
        <w:jc w:val="right"/>
        <w:rPr>
          <w:sz w:val="28"/>
          <w:szCs w:val="28"/>
          <w:lang w:val="en-US"/>
        </w:rPr>
      </w:pPr>
      <w:r w:rsidRPr="001243BC">
        <w:rPr>
          <w:sz w:val="28"/>
          <w:szCs w:val="28"/>
          <w:lang w:val="en-US"/>
        </w:rPr>
        <w:t>Belarusian state University of Economics</w:t>
      </w:r>
    </w:p>
    <w:p w14:paraId="3EEA4CB7" w14:textId="77777777" w:rsidR="005D3FE7" w:rsidRPr="001243BC" w:rsidRDefault="005D3FE7" w:rsidP="005D3FE7">
      <w:pPr>
        <w:widowControl w:val="0"/>
        <w:spacing w:line="360" w:lineRule="auto"/>
        <w:jc w:val="right"/>
        <w:rPr>
          <w:sz w:val="28"/>
          <w:szCs w:val="28"/>
          <w:lang w:val="en-US"/>
        </w:rPr>
      </w:pPr>
      <w:r w:rsidRPr="001243BC">
        <w:rPr>
          <w:sz w:val="28"/>
          <w:szCs w:val="28"/>
        </w:rPr>
        <w:t>Шаврук</w:t>
      </w:r>
      <w:r w:rsidRPr="001243BC">
        <w:rPr>
          <w:sz w:val="28"/>
          <w:szCs w:val="28"/>
          <w:lang w:val="en-US"/>
        </w:rPr>
        <w:t xml:space="preserve"> </w:t>
      </w:r>
      <w:r w:rsidRPr="001243BC">
        <w:rPr>
          <w:sz w:val="28"/>
          <w:szCs w:val="28"/>
        </w:rPr>
        <w:t>Ю</w:t>
      </w:r>
      <w:r w:rsidRPr="001243BC">
        <w:rPr>
          <w:sz w:val="28"/>
          <w:szCs w:val="28"/>
          <w:lang w:val="en-US"/>
        </w:rPr>
        <w:t>.</w:t>
      </w:r>
      <w:r w:rsidRPr="001243BC">
        <w:rPr>
          <w:sz w:val="28"/>
          <w:szCs w:val="28"/>
        </w:rPr>
        <w:t>А</w:t>
      </w:r>
      <w:r w:rsidRPr="001243BC">
        <w:rPr>
          <w:sz w:val="28"/>
          <w:szCs w:val="28"/>
          <w:lang w:val="en-US"/>
        </w:rPr>
        <w:t>.</w:t>
      </w:r>
    </w:p>
    <w:p w14:paraId="3D8DF0EE" w14:textId="77777777" w:rsidR="005D3FE7" w:rsidRPr="001243BC" w:rsidRDefault="005D3FE7" w:rsidP="005D3FE7">
      <w:pPr>
        <w:widowControl w:val="0"/>
        <w:spacing w:line="360" w:lineRule="auto"/>
        <w:jc w:val="right"/>
        <w:rPr>
          <w:sz w:val="28"/>
          <w:szCs w:val="28"/>
        </w:rPr>
      </w:pPr>
      <w:r w:rsidRPr="001243BC">
        <w:rPr>
          <w:sz w:val="28"/>
          <w:szCs w:val="28"/>
        </w:rPr>
        <w:t>кандидат экономических наук, доцент</w:t>
      </w:r>
    </w:p>
    <w:p w14:paraId="0960BC3F" w14:textId="77777777" w:rsidR="005D3FE7" w:rsidRPr="001243BC" w:rsidRDefault="005D3FE7" w:rsidP="005D3FE7">
      <w:pPr>
        <w:widowControl w:val="0"/>
        <w:spacing w:line="360" w:lineRule="auto"/>
        <w:jc w:val="center"/>
        <w:rPr>
          <w:b/>
          <w:caps/>
          <w:sz w:val="28"/>
          <w:szCs w:val="28"/>
        </w:rPr>
      </w:pPr>
      <w:r w:rsidRPr="001243BC">
        <w:rPr>
          <w:sz w:val="28"/>
          <w:szCs w:val="28"/>
        </w:rPr>
        <w:t xml:space="preserve">                                          Белорусский государственный экономический университет</w:t>
      </w:r>
    </w:p>
    <w:p w14:paraId="5F2271EF" w14:textId="77777777" w:rsidR="005D3FE7" w:rsidRPr="001243BC" w:rsidRDefault="005D3FE7" w:rsidP="005D3FE7">
      <w:pPr>
        <w:widowControl w:val="0"/>
        <w:spacing w:line="360" w:lineRule="auto"/>
        <w:ind w:firstLine="709"/>
        <w:jc w:val="center"/>
        <w:rPr>
          <w:b/>
          <w:sz w:val="28"/>
          <w:szCs w:val="28"/>
        </w:rPr>
      </w:pPr>
    </w:p>
    <w:p w14:paraId="4779CEBE" w14:textId="77777777" w:rsidR="005D3FE7" w:rsidRPr="001243BC" w:rsidRDefault="005D3FE7" w:rsidP="005D3FE7">
      <w:pPr>
        <w:pStyle w:val="a4"/>
        <w:widowControl w:val="0"/>
        <w:spacing w:before="0" w:beforeAutospacing="0" w:after="0" w:afterAutospacing="0" w:line="360" w:lineRule="auto"/>
        <w:ind w:firstLine="709"/>
        <w:jc w:val="center"/>
        <w:textAlignment w:val="top"/>
        <w:rPr>
          <w:b/>
          <w:sz w:val="28"/>
          <w:szCs w:val="28"/>
          <w:lang w:val="en"/>
        </w:rPr>
      </w:pPr>
      <w:r w:rsidRPr="001243BC">
        <w:rPr>
          <w:b/>
          <w:sz w:val="28"/>
          <w:szCs w:val="28"/>
          <w:lang w:val="en"/>
        </w:rPr>
        <w:t>IMPORT SUBSTITUTION AS A FACTOR OF REDUCING THE NEGATIVE SALDO OF FOREIGN TRADE IN GOODS OF THE REPUBLIC OF BELARUS</w:t>
      </w:r>
    </w:p>
    <w:p w14:paraId="26FD1E99" w14:textId="77777777" w:rsidR="005D3FE7" w:rsidRPr="001243BC" w:rsidRDefault="005D3FE7" w:rsidP="005D3FE7">
      <w:pPr>
        <w:pStyle w:val="a4"/>
        <w:widowControl w:val="0"/>
        <w:spacing w:before="0" w:beforeAutospacing="0" w:after="0" w:afterAutospacing="0" w:line="360" w:lineRule="auto"/>
        <w:ind w:firstLine="709"/>
        <w:jc w:val="center"/>
        <w:textAlignment w:val="top"/>
        <w:rPr>
          <w:b/>
          <w:sz w:val="28"/>
          <w:szCs w:val="28"/>
          <w:lang w:val="en"/>
        </w:rPr>
      </w:pPr>
    </w:p>
    <w:p w14:paraId="578BA9AC" w14:textId="77777777" w:rsidR="005D3FE7" w:rsidRPr="001243BC" w:rsidRDefault="005D3FE7" w:rsidP="005D3FE7">
      <w:pPr>
        <w:widowControl w:val="0"/>
        <w:spacing w:line="360" w:lineRule="auto"/>
        <w:jc w:val="center"/>
        <w:rPr>
          <w:b/>
          <w:caps/>
          <w:sz w:val="28"/>
          <w:szCs w:val="28"/>
        </w:rPr>
      </w:pPr>
      <w:r w:rsidRPr="001243BC">
        <w:rPr>
          <w:b/>
          <w:caps/>
          <w:sz w:val="28"/>
          <w:szCs w:val="28"/>
        </w:rPr>
        <w:t>ИМПОРТОЗАМЕЩЕНИЕ КАК ФАКТОР Сокращения отрицательного САЛЬДО ОБОРОТА ВНЕШНЕЙ ТОРГОВЛИ ТОВАРАМИ РЕСПУБЛИКИ БЕЛАРУСЬ</w:t>
      </w:r>
    </w:p>
    <w:p w14:paraId="23F92060" w14:textId="77777777" w:rsidR="005D3FE7" w:rsidRPr="001243BC" w:rsidRDefault="005D3FE7" w:rsidP="005D3FE7">
      <w:pPr>
        <w:pStyle w:val="a4"/>
        <w:widowControl w:val="0"/>
        <w:spacing w:before="0" w:beforeAutospacing="0" w:after="0" w:afterAutospacing="0" w:line="360" w:lineRule="auto"/>
        <w:ind w:firstLine="709"/>
        <w:jc w:val="center"/>
        <w:textAlignment w:val="top"/>
        <w:rPr>
          <w:b/>
          <w:sz w:val="28"/>
          <w:szCs w:val="28"/>
        </w:rPr>
      </w:pPr>
    </w:p>
    <w:p w14:paraId="275BC424" w14:textId="77777777" w:rsidR="005D3FE7" w:rsidRPr="001243BC" w:rsidRDefault="005D3FE7" w:rsidP="005D3FE7">
      <w:pPr>
        <w:pStyle w:val="a4"/>
        <w:widowControl w:val="0"/>
        <w:spacing w:before="0" w:beforeAutospacing="0" w:after="0" w:afterAutospacing="0" w:line="360" w:lineRule="auto"/>
        <w:ind w:firstLine="709"/>
        <w:jc w:val="both"/>
        <w:textAlignment w:val="top"/>
        <w:rPr>
          <w:rStyle w:val="hps"/>
          <w:sz w:val="28"/>
          <w:szCs w:val="28"/>
          <w:lang w:val="en-US"/>
        </w:rPr>
      </w:pPr>
      <w:r w:rsidRPr="001243BC">
        <w:rPr>
          <w:rStyle w:val="hps"/>
          <w:b/>
          <w:sz w:val="28"/>
          <w:szCs w:val="28"/>
          <w:lang w:val="en-US"/>
        </w:rPr>
        <w:t xml:space="preserve">Annotation: </w:t>
      </w:r>
      <w:r w:rsidRPr="001243BC">
        <w:rPr>
          <w:rStyle w:val="hps"/>
          <w:sz w:val="28"/>
          <w:szCs w:val="28"/>
          <w:lang w:val="en-US"/>
        </w:rPr>
        <w:t xml:space="preserve">the article studies the dynamics of foreign trade in goods of the Republic of Belarus, reveals a tendency to maintain a negative balance due to the excess of imports in comparison with exports. The main commodity items in the structure of imports, which form a negative balance of foreign trade in goods, have been determined. The expediency of import substitution for those groups of goods in the production of which Belarus has a comparative advantage has been established, which will ensure a reduction in imports of goods and, as a consequence, </w:t>
      </w:r>
      <w:r w:rsidRPr="001243BC">
        <w:rPr>
          <w:rStyle w:val="hps"/>
          <w:sz w:val="28"/>
          <w:szCs w:val="28"/>
          <w:lang w:val="en-US"/>
        </w:rPr>
        <w:lastRenderedPageBreak/>
        <w:t>a reduction in the negative balance of foreign trade in goods.</w:t>
      </w:r>
    </w:p>
    <w:p w14:paraId="06805493" w14:textId="77777777" w:rsidR="005D3FE7" w:rsidRPr="001243BC" w:rsidRDefault="005D3FE7" w:rsidP="005D3FE7">
      <w:pPr>
        <w:pStyle w:val="a4"/>
        <w:widowControl w:val="0"/>
        <w:spacing w:before="0" w:beforeAutospacing="0" w:after="0" w:afterAutospacing="0" w:line="360" w:lineRule="auto"/>
        <w:ind w:firstLine="709"/>
        <w:jc w:val="both"/>
        <w:textAlignment w:val="top"/>
        <w:rPr>
          <w:b/>
          <w:sz w:val="28"/>
          <w:szCs w:val="28"/>
          <w:lang w:val="en-US"/>
        </w:rPr>
      </w:pPr>
    </w:p>
    <w:p w14:paraId="0439476D" w14:textId="77777777" w:rsidR="005D3FE7" w:rsidRPr="001243BC" w:rsidRDefault="005D3FE7" w:rsidP="005D3FE7">
      <w:pPr>
        <w:pStyle w:val="a4"/>
        <w:widowControl w:val="0"/>
        <w:spacing w:before="0" w:beforeAutospacing="0" w:after="0" w:afterAutospacing="0" w:line="360" w:lineRule="auto"/>
        <w:ind w:firstLine="709"/>
        <w:jc w:val="both"/>
        <w:textAlignment w:val="top"/>
        <w:rPr>
          <w:sz w:val="28"/>
          <w:szCs w:val="28"/>
        </w:rPr>
      </w:pPr>
      <w:r w:rsidRPr="001243BC">
        <w:rPr>
          <w:b/>
          <w:sz w:val="28"/>
          <w:szCs w:val="28"/>
        </w:rPr>
        <w:t xml:space="preserve">Аннотация: </w:t>
      </w:r>
      <w:r w:rsidRPr="001243BC">
        <w:rPr>
          <w:sz w:val="28"/>
          <w:szCs w:val="28"/>
        </w:rPr>
        <w:t>в статье исследована динамика оборота внешней торговли товарами Республики Беларусь, выявлена тенденция сохранения отрицательного значения сальдо за счет превышения объемов импорта в сравнении с экспортом. Определены основные товарные позиции в структуре импорта, формирующие отрицательное значение сальдо внешней торговли товарами. Установлена целесообразность импортозамещения по тем группам товаров, в производстве которых Беларусь обладает сравнительным преимуществом, что обеспечит сокращение импорта товаров и, как следствие, сокращение отрицательного сальдо внешней торговли товарами.</w:t>
      </w:r>
    </w:p>
    <w:p w14:paraId="2475C0AB" w14:textId="77777777" w:rsidR="005D3FE7" w:rsidRPr="001243BC" w:rsidRDefault="005D3FE7" w:rsidP="005D3FE7">
      <w:pPr>
        <w:widowControl w:val="0"/>
        <w:autoSpaceDE w:val="0"/>
        <w:autoSpaceDN w:val="0"/>
        <w:adjustRightInd w:val="0"/>
        <w:spacing w:line="360" w:lineRule="auto"/>
        <w:ind w:firstLine="709"/>
        <w:jc w:val="both"/>
        <w:rPr>
          <w:sz w:val="28"/>
          <w:szCs w:val="28"/>
          <w:lang w:val="en"/>
        </w:rPr>
      </w:pPr>
      <w:r w:rsidRPr="001243BC">
        <w:rPr>
          <w:b/>
          <w:sz w:val="28"/>
          <w:szCs w:val="28"/>
          <w:lang w:val="en-US"/>
        </w:rPr>
        <w:t>Key words:</w:t>
      </w:r>
      <w:r w:rsidRPr="001243BC">
        <w:rPr>
          <w:sz w:val="28"/>
          <w:szCs w:val="28"/>
          <w:lang w:val="en-US"/>
        </w:rPr>
        <w:t xml:space="preserve"> </w:t>
      </w:r>
      <w:r w:rsidRPr="001243BC">
        <w:rPr>
          <w:sz w:val="28"/>
          <w:szCs w:val="28"/>
          <w:lang w:val="en"/>
        </w:rPr>
        <w:t>foreign trade turnover, foreign trade balance, export, commodity structure of imports, import substitution, reduction of the negative balance.</w:t>
      </w:r>
    </w:p>
    <w:p w14:paraId="546D3012" w14:textId="77777777" w:rsidR="005D3FE7" w:rsidRPr="001243BC" w:rsidRDefault="005D3FE7" w:rsidP="005D3FE7">
      <w:pPr>
        <w:widowControl w:val="0"/>
        <w:autoSpaceDE w:val="0"/>
        <w:autoSpaceDN w:val="0"/>
        <w:adjustRightInd w:val="0"/>
        <w:spacing w:line="360" w:lineRule="auto"/>
        <w:ind w:firstLine="709"/>
        <w:jc w:val="both"/>
        <w:rPr>
          <w:sz w:val="28"/>
          <w:szCs w:val="28"/>
        </w:rPr>
      </w:pPr>
      <w:r w:rsidRPr="001243BC">
        <w:rPr>
          <w:b/>
          <w:sz w:val="28"/>
          <w:szCs w:val="28"/>
        </w:rPr>
        <w:t xml:space="preserve">Ключевые слова: </w:t>
      </w:r>
      <w:r w:rsidRPr="001243BC">
        <w:rPr>
          <w:sz w:val="28"/>
          <w:szCs w:val="28"/>
        </w:rPr>
        <w:t>оборот внешней торговли, сальдо внешней торговли, экспорт, товарная структура импорта, импортозамещение, сокращение отрицательного сальдо.</w:t>
      </w:r>
    </w:p>
    <w:p w14:paraId="37A6F14B" w14:textId="47715C31" w:rsidR="005D3FE7" w:rsidRPr="005D3FE7" w:rsidRDefault="005D3FE7" w:rsidP="005D3FE7">
      <w:pPr>
        <w:ind w:firstLine="709"/>
        <w:jc w:val="both"/>
        <w:rPr>
          <w:sz w:val="28"/>
          <w:szCs w:val="28"/>
          <w:lang w:val="en-US"/>
        </w:rPr>
      </w:pPr>
      <w:r w:rsidRPr="005D3FE7">
        <w:rPr>
          <w:sz w:val="28"/>
          <w:szCs w:val="28"/>
          <w:lang w:val="en-US"/>
        </w:rPr>
        <w:t xml:space="preserve">Foreign trade is traditionally one of the main factors of sustainable economic growth and development of the national economy of each state. The country's foreign trade is characterized by a number of indicators, the main of which, in addition to the volume of exports and imports, are the turnover and foreign trade balance. The foreign trade turnover, which is the sum of exports and imports, is calculated, as a rule, in monetary units, since it includes heterogeneous goods that are not comparable in physical terms. The foreign trade balance is calculated as the difference between exports and imports, expressed in the value of a particular country. This indicator, as a rule, has </w:t>
      </w:r>
      <w:r w:rsidR="00005F5F">
        <w:rPr>
          <w:sz w:val="28"/>
          <w:szCs w:val="28"/>
          <w:lang w:val="en-US"/>
        </w:rPr>
        <w:t xml:space="preserve">either </w:t>
      </w:r>
      <w:r w:rsidRPr="005D3FE7">
        <w:rPr>
          <w:sz w:val="28"/>
          <w:szCs w:val="28"/>
          <w:lang w:val="en-US"/>
        </w:rPr>
        <w:t>a positive or negative value. At the same time, the main goal of any state is the positive value of the foreign trade balance.</w:t>
      </w:r>
    </w:p>
    <w:p w14:paraId="1A8399E6" w14:textId="77777777" w:rsidR="005D3FE7" w:rsidRPr="005D3FE7" w:rsidRDefault="005D3FE7" w:rsidP="005D3FE7">
      <w:pPr>
        <w:ind w:firstLine="709"/>
        <w:jc w:val="both"/>
        <w:rPr>
          <w:sz w:val="28"/>
          <w:szCs w:val="28"/>
          <w:lang w:val="en-US"/>
        </w:rPr>
      </w:pPr>
      <w:r w:rsidRPr="005D3FE7">
        <w:rPr>
          <w:sz w:val="28"/>
          <w:szCs w:val="28"/>
          <w:lang w:val="en-US"/>
        </w:rPr>
        <w:t>The Republic of Belarus implements a multi-vector foreign economic policy and actively participates in international integration processes [1].</w:t>
      </w:r>
    </w:p>
    <w:p w14:paraId="4D77E376" w14:textId="62EA8CEE" w:rsidR="00B62CA0" w:rsidRDefault="005D3FE7" w:rsidP="005D3FE7">
      <w:pPr>
        <w:ind w:firstLine="709"/>
        <w:jc w:val="both"/>
        <w:rPr>
          <w:sz w:val="28"/>
          <w:szCs w:val="28"/>
          <w:lang w:val="en-US"/>
        </w:rPr>
      </w:pPr>
      <w:r w:rsidRPr="005D3FE7">
        <w:rPr>
          <w:sz w:val="28"/>
          <w:szCs w:val="28"/>
          <w:lang w:val="en-US"/>
        </w:rPr>
        <w:t>The basis of foreign trade of the Republic of Belarus is trade in goods. Dynamics of the main indicators of foreign trade in goods of the Republic of Belarus for 2015 - 2018 are presented in table 1.</w:t>
      </w:r>
    </w:p>
    <w:p w14:paraId="45851137" w14:textId="5B7F7BF4" w:rsidR="00005F5F" w:rsidRPr="00005F5F" w:rsidRDefault="00005F5F" w:rsidP="00005F5F">
      <w:pPr>
        <w:contextualSpacing/>
        <w:jc w:val="both"/>
        <w:rPr>
          <w:b/>
          <w:noProof/>
          <w:sz w:val="26"/>
          <w:szCs w:val="26"/>
          <w:lang w:val="en-US"/>
        </w:rPr>
      </w:pPr>
      <w:r w:rsidRPr="00005F5F">
        <w:rPr>
          <w:b/>
          <w:noProof/>
          <w:sz w:val="26"/>
          <w:szCs w:val="26"/>
          <w:lang w:val="en-US"/>
        </w:rPr>
        <w:t>Table 1 - Dynamics of the main indicators of foreign trade in goods of the Republic of Belarus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2"/>
        <w:gridCol w:w="1389"/>
        <w:gridCol w:w="1134"/>
        <w:gridCol w:w="1009"/>
        <w:gridCol w:w="1271"/>
        <w:gridCol w:w="1379"/>
        <w:gridCol w:w="830"/>
        <w:gridCol w:w="1101"/>
      </w:tblGrid>
      <w:tr w:rsidR="00005F5F" w:rsidRPr="00005F5F" w14:paraId="1ED36210" w14:textId="77777777" w:rsidTr="00005F5F">
        <w:trPr>
          <w:trHeight w:val="20"/>
        </w:trPr>
        <w:tc>
          <w:tcPr>
            <w:tcW w:w="659" w:type="pct"/>
            <w:vMerge w:val="restart"/>
            <w:shd w:val="clear" w:color="auto" w:fill="auto"/>
            <w:vAlign w:val="center"/>
          </w:tcPr>
          <w:p w14:paraId="1CF23E4E" w14:textId="56FBCBBA" w:rsidR="00005F5F" w:rsidRPr="000003DD" w:rsidRDefault="000003DD" w:rsidP="00D01E34">
            <w:pPr>
              <w:spacing w:after="160"/>
              <w:contextualSpacing/>
              <w:jc w:val="center"/>
              <w:rPr>
                <w:rFonts w:eastAsia="Calibri"/>
                <w:lang w:val="en-US" w:eastAsia="en-US"/>
              </w:rPr>
            </w:pPr>
            <w:r>
              <w:rPr>
                <w:rFonts w:eastAsia="Calibri"/>
                <w:lang w:val="en-US" w:eastAsia="en-US"/>
              </w:rPr>
              <w:t>Period</w:t>
            </w:r>
          </w:p>
        </w:tc>
        <w:tc>
          <w:tcPr>
            <w:tcW w:w="2569" w:type="pct"/>
            <w:gridSpan w:val="4"/>
            <w:shd w:val="clear" w:color="auto" w:fill="auto"/>
            <w:vAlign w:val="center"/>
          </w:tcPr>
          <w:p w14:paraId="144CE937" w14:textId="727FD717" w:rsidR="00005F5F" w:rsidRPr="000003DD" w:rsidRDefault="000003DD" w:rsidP="00D01E34">
            <w:pPr>
              <w:widowControl w:val="0"/>
              <w:contextualSpacing/>
              <w:jc w:val="center"/>
              <w:rPr>
                <w:rFonts w:eastAsia="Arial"/>
                <w:lang w:val="en-US" w:eastAsia="en-US"/>
              </w:rPr>
            </w:pPr>
            <w:r>
              <w:rPr>
                <w:rFonts w:eastAsia="Arial"/>
                <w:lang w:val="en-US"/>
              </w:rPr>
              <w:t>Million US dollars</w:t>
            </w:r>
          </w:p>
        </w:tc>
        <w:tc>
          <w:tcPr>
            <w:tcW w:w="1773" w:type="pct"/>
            <w:gridSpan w:val="3"/>
            <w:shd w:val="clear" w:color="auto" w:fill="auto"/>
            <w:vAlign w:val="center"/>
          </w:tcPr>
          <w:p w14:paraId="659BA344" w14:textId="6686051E" w:rsidR="00005F5F" w:rsidRPr="00005F5F" w:rsidRDefault="00005F5F" w:rsidP="00D01E34">
            <w:pPr>
              <w:widowControl w:val="0"/>
              <w:contextualSpacing/>
              <w:jc w:val="center"/>
              <w:rPr>
                <w:rFonts w:eastAsia="Arial"/>
                <w:i/>
                <w:iCs/>
                <w:lang w:val="en-US" w:eastAsia="en-US"/>
              </w:rPr>
            </w:pPr>
            <w:r w:rsidRPr="00005F5F">
              <w:rPr>
                <w:rFonts w:eastAsia="Arial Narrow"/>
                <w:i/>
                <w:iCs/>
                <w:color w:val="FF0000"/>
                <w:shd w:val="clear" w:color="auto" w:fill="FFFFFF"/>
                <w:lang w:val="en-US" w:bidi="ru-RU"/>
              </w:rPr>
              <w:t>As a percentage of the previous year</w:t>
            </w:r>
          </w:p>
        </w:tc>
      </w:tr>
      <w:tr w:rsidR="00005F5F" w:rsidRPr="001243BC" w14:paraId="610983E0" w14:textId="77777777" w:rsidTr="00005F5F">
        <w:trPr>
          <w:trHeight w:val="20"/>
        </w:trPr>
        <w:tc>
          <w:tcPr>
            <w:tcW w:w="659" w:type="pct"/>
            <w:vMerge/>
            <w:shd w:val="clear" w:color="auto" w:fill="auto"/>
            <w:vAlign w:val="center"/>
          </w:tcPr>
          <w:p w14:paraId="2E65CB0B" w14:textId="77777777" w:rsidR="00005F5F" w:rsidRPr="00005F5F" w:rsidRDefault="00005F5F" w:rsidP="00D01E34">
            <w:pPr>
              <w:spacing w:after="160"/>
              <w:contextualSpacing/>
              <w:jc w:val="center"/>
              <w:rPr>
                <w:rFonts w:eastAsia="Calibri"/>
                <w:lang w:val="en-US" w:eastAsia="en-US"/>
              </w:rPr>
            </w:pPr>
          </w:p>
        </w:tc>
        <w:tc>
          <w:tcPr>
            <w:tcW w:w="743" w:type="pct"/>
            <w:shd w:val="clear" w:color="auto" w:fill="auto"/>
            <w:vAlign w:val="center"/>
          </w:tcPr>
          <w:p w14:paraId="122B2690" w14:textId="77777777" w:rsidR="00005F5F" w:rsidRPr="001243BC" w:rsidRDefault="00005F5F" w:rsidP="00D01E34">
            <w:pPr>
              <w:widowControl w:val="0"/>
              <w:contextualSpacing/>
              <w:jc w:val="center"/>
              <w:rPr>
                <w:rFonts w:eastAsia="Arial"/>
                <w:lang w:val="en-US" w:eastAsia="en-US"/>
              </w:rPr>
            </w:pPr>
            <w:r w:rsidRPr="001243BC">
              <w:rPr>
                <w:rFonts w:eastAsia="Arial Narrow"/>
                <w:shd w:val="clear" w:color="auto" w:fill="FFFFFF"/>
                <w:lang w:bidi="ru-RU"/>
              </w:rPr>
              <w:t xml:space="preserve">foreign trade </w:t>
            </w:r>
            <w:r w:rsidRPr="001243BC">
              <w:rPr>
                <w:rFonts w:eastAsia="Arial Narrow"/>
                <w:shd w:val="clear" w:color="auto" w:fill="FFFFFF"/>
                <w:lang w:bidi="ru-RU"/>
              </w:rPr>
              <w:lastRenderedPageBreak/>
              <w:t>turnover</w:t>
            </w:r>
          </w:p>
        </w:tc>
        <w:tc>
          <w:tcPr>
            <w:tcW w:w="607" w:type="pct"/>
            <w:shd w:val="clear" w:color="auto" w:fill="auto"/>
            <w:vAlign w:val="center"/>
          </w:tcPr>
          <w:p w14:paraId="1C731351" w14:textId="77777777" w:rsidR="00005F5F" w:rsidRPr="001243BC" w:rsidRDefault="00005F5F" w:rsidP="00D01E34">
            <w:pPr>
              <w:widowControl w:val="0"/>
              <w:contextualSpacing/>
              <w:jc w:val="center"/>
              <w:rPr>
                <w:rFonts w:eastAsia="Arial"/>
                <w:lang w:val="en-US" w:eastAsia="en-US"/>
              </w:rPr>
            </w:pPr>
            <w:r w:rsidRPr="001243BC">
              <w:rPr>
                <w:rFonts w:eastAsia="Arial Narrow"/>
                <w:shd w:val="clear" w:color="auto" w:fill="FFFFFF"/>
                <w:lang w:bidi="ru-RU"/>
              </w:rPr>
              <w:lastRenderedPageBreak/>
              <w:t>export</w:t>
            </w:r>
          </w:p>
        </w:tc>
        <w:tc>
          <w:tcPr>
            <w:tcW w:w="540" w:type="pct"/>
            <w:shd w:val="clear" w:color="auto" w:fill="auto"/>
            <w:vAlign w:val="center"/>
          </w:tcPr>
          <w:p w14:paraId="05B8DC54" w14:textId="77777777" w:rsidR="00005F5F" w:rsidRPr="001243BC" w:rsidRDefault="00005F5F" w:rsidP="00D01E34">
            <w:pPr>
              <w:widowControl w:val="0"/>
              <w:contextualSpacing/>
              <w:jc w:val="center"/>
              <w:rPr>
                <w:rFonts w:eastAsia="Arial"/>
                <w:lang w:val="en-US" w:eastAsia="en-US"/>
              </w:rPr>
            </w:pPr>
            <w:r w:rsidRPr="001243BC">
              <w:rPr>
                <w:rFonts w:eastAsia="Arial Narrow"/>
                <w:shd w:val="clear" w:color="auto" w:fill="FFFFFF"/>
                <w:lang w:bidi="ru-RU"/>
              </w:rPr>
              <w:t>import</w:t>
            </w:r>
          </w:p>
        </w:tc>
        <w:tc>
          <w:tcPr>
            <w:tcW w:w="680" w:type="pct"/>
            <w:shd w:val="clear" w:color="auto" w:fill="auto"/>
            <w:vAlign w:val="center"/>
          </w:tcPr>
          <w:p w14:paraId="1FE92416" w14:textId="77777777" w:rsidR="00005F5F" w:rsidRPr="001243BC" w:rsidRDefault="00005F5F" w:rsidP="00D01E34">
            <w:pPr>
              <w:widowControl w:val="0"/>
              <w:contextualSpacing/>
              <w:jc w:val="center"/>
              <w:rPr>
                <w:rFonts w:eastAsia="Arial"/>
                <w:lang w:val="en-US" w:eastAsia="en-US"/>
              </w:rPr>
            </w:pPr>
            <w:r w:rsidRPr="001243BC">
              <w:rPr>
                <w:rFonts w:eastAsia="Arial Narrow"/>
                <w:shd w:val="clear" w:color="auto" w:fill="FFFFFF"/>
                <w:lang w:bidi="ru-RU"/>
              </w:rPr>
              <w:t>balance</w:t>
            </w:r>
          </w:p>
        </w:tc>
        <w:tc>
          <w:tcPr>
            <w:tcW w:w="738" w:type="pct"/>
            <w:shd w:val="clear" w:color="auto" w:fill="auto"/>
            <w:vAlign w:val="center"/>
          </w:tcPr>
          <w:p w14:paraId="4E1A21DB" w14:textId="77777777" w:rsidR="00005F5F" w:rsidRPr="001243BC" w:rsidRDefault="00005F5F" w:rsidP="00D01E34">
            <w:pPr>
              <w:widowControl w:val="0"/>
              <w:contextualSpacing/>
              <w:jc w:val="center"/>
              <w:rPr>
                <w:rFonts w:eastAsia="Arial"/>
                <w:lang w:val="en-US" w:eastAsia="en-US"/>
              </w:rPr>
            </w:pPr>
            <w:r w:rsidRPr="001243BC">
              <w:rPr>
                <w:rFonts w:eastAsia="Arial Narrow"/>
                <w:shd w:val="clear" w:color="auto" w:fill="FFFFFF"/>
                <w:lang w:bidi="ru-RU"/>
              </w:rPr>
              <w:t xml:space="preserve">foreign trade </w:t>
            </w:r>
            <w:r w:rsidRPr="001243BC">
              <w:rPr>
                <w:rFonts w:eastAsia="Arial Narrow"/>
                <w:shd w:val="clear" w:color="auto" w:fill="FFFFFF"/>
                <w:lang w:bidi="ru-RU"/>
              </w:rPr>
              <w:lastRenderedPageBreak/>
              <w:t>turnover</w:t>
            </w:r>
          </w:p>
        </w:tc>
        <w:tc>
          <w:tcPr>
            <w:tcW w:w="444" w:type="pct"/>
            <w:shd w:val="clear" w:color="auto" w:fill="auto"/>
            <w:vAlign w:val="center"/>
          </w:tcPr>
          <w:p w14:paraId="5B919B6F" w14:textId="77777777" w:rsidR="00005F5F" w:rsidRPr="001243BC" w:rsidRDefault="00005F5F" w:rsidP="00D01E34">
            <w:pPr>
              <w:widowControl w:val="0"/>
              <w:contextualSpacing/>
              <w:jc w:val="center"/>
              <w:rPr>
                <w:rFonts w:eastAsia="Arial"/>
                <w:lang w:val="en-US" w:eastAsia="en-US"/>
              </w:rPr>
            </w:pPr>
            <w:r w:rsidRPr="001243BC">
              <w:rPr>
                <w:rFonts w:eastAsia="Arial Narrow"/>
                <w:shd w:val="clear" w:color="auto" w:fill="FFFFFF"/>
                <w:lang w:bidi="ru-RU"/>
              </w:rPr>
              <w:lastRenderedPageBreak/>
              <w:t>export</w:t>
            </w:r>
          </w:p>
        </w:tc>
        <w:tc>
          <w:tcPr>
            <w:tcW w:w="590" w:type="pct"/>
            <w:shd w:val="clear" w:color="auto" w:fill="auto"/>
            <w:vAlign w:val="center"/>
          </w:tcPr>
          <w:p w14:paraId="7C04D919" w14:textId="77777777" w:rsidR="00005F5F" w:rsidRPr="001243BC" w:rsidRDefault="00005F5F" w:rsidP="00D01E34">
            <w:pPr>
              <w:widowControl w:val="0"/>
              <w:contextualSpacing/>
              <w:jc w:val="center"/>
              <w:rPr>
                <w:rFonts w:eastAsia="Arial"/>
                <w:lang w:val="en-US" w:eastAsia="en-US"/>
              </w:rPr>
            </w:pPr>
            <w:r w:rsidRPr="001243BC">
              <w:rPr>
                <w:rFonts w:eastAsia="Arial Narrow"/>
                <w:shd w:val="clear" w:color="auto" w:fill="FFFFFF"/>
                <w:lang w:bidi="ru-RU"/>
              </w:rPr>
              <w:t>import</w:t>
            </w:r>
          </w:p>
        </w:tc>
      </w:tr>
      <w:tr w:rsidR="00005F5F" w:rsidRPr="001243BC" w14:paraId="69B22834" w14:textId="77777777" w:rsidTr="00005F5F">
        <w:trPr>
          <w:trHeight w:val="20"/>
        </w:trPr>
        <w:tc>
          <w:tcPr>
            <w:tcW w:w="659" w:type="pct"/>
            <w:shd w:val="clear" w:color="auto" w:fill="auto"/>
            <w:vAlign w:val="center"/>
          </w:tcPr>
          <w:p w14:paraId="45150284" w14:textId="77777777" w:rsidR="00005F5F" w:rsidRPr="001243BC" w:rsidRDefault="00005F5F" w:rsidP="00D01E34">
            <w:pPr>
              <w:widowControl w:val="0"/>
              <w:contextualSpacing/>
              <w:jc w:val="center"/>
              <w:rPr>
                <w:rFonts w:eastAsia="Arial"/>
                <w:lang w:val="en-US" w:eastAsia="en-US"/>
              </w:rPr>
            </w:pPr>
            <w:r w:rsidRPr="001243BC">
              <w:rPr>
                <w:rFonts w:eastAsia="Arial Narrow"/>
                <w:shd w:val="clear" w:color="auto" w:fill="FFFFFF"/>
                <w:lang w:bidi="en-US"/>
              </w:rPr>
              <w:t>2015</w:t>
            </w:r>
          </w:p>
        </w:tc>
        <w:tc>
          <w:tcPr>
            <w:tcW w:w="743" w:type="pct"/>
            <w:shd w:val="clear" w:color="auto" w:fill="auto"/>
            <w:vAlign w:val="center"/>
          </w:tcPr>
          <w:p w14:paraId="520E4922" w14:textId="77777777" w:rsidR="00005F5F" w:rsidRPr="001243BC" w:rsidRDefault="00005F5F" w:rsidP="00D01E34">
            <w:pPr>
              <w:widowControl w:val="0"/>
              <w:contextualSpacing/>
              <w:jc w:val="right"/>
              <w:rPr>
                <w:rFonts w:eastAsia="Arial"/>
                <w:lang w:val="en-US" w:eastAsia="en-US"/>
              </w:rPr>
            </w:pPr>
            <w:r w:rsidRPr="001243BC">
              <w:rPr>
                <w:rFonts w:eastAsia="Arial Narrow"/>
                <w:shd w:val="clear" w:color="auto" w:fill="FFFFFF"/>
                <w:lang w:bidi="en-US"/>
              </w:rPr>
              <w:t>56 951,9</w:t>
            </w:r>
          </w:p>
        </w:tc>
        <w:tc>
          <w:tcPr>
            <w:tcW w:w="607" w:type="pct"/>
            <w:shd w:val="clear" w:color="auto" w:fill="auto"/>
            <w:vAlign w:val="center"/>
          </w:tcPr>
          <w:p w14:paraId="09188CA0" w14:textId="77777777" w:rsidR="00005F5F" w:rsidRPr="001243BC" w:rsidRDefault="00005F5F" w:rsidP="00D01E34">
            <w:pPr>
              <w:widowControl w:val="0"/>
              <w:contextualSpacing/>
              <w:jc w:val="right"/>
              <w:rPr>
                <w:rFonts w:eastAsia="Arial"/>
                <w:lang w:val="en-US" w:eastAsia="en-US"/>
              </w:rPr>
            </w:pPr>
            <w:r w:rsidRPr="001243BC">
              <w:rPr>
                <w:rFonts w:eastAsia="Arial Narrow"/>
                <w:shd w:val="clear" w:color="auto" w:fill="FFFFFF"/>
                <w:lang w:bidi="en-US"/>
              </w:rPr>
              <w:t>26 660,4</w:t>
            </w:r>
          </w:p>
        </w:tc>
        <w:tc>
          <w:tcPr>
            <w:tcW w:w="540" w:type="pct"/>
            <w:shd w:val="clear" w:color="auto" w:fill="auto"/>
            <w:vAlign w:val="center"/>
          </w:tcPr>
          <w:p w14:paraId="0DD77F7D" w14:textId="77777777" w:rsidR="00005F5F" w:rsidRPr="001243BC" w:rsidRDefault="00005F5F" w:rsidP="00D01E34">
            <w:pPr>
              <w:widowControl w:val="0"/>
              <w:contextualSpacing/>
              <w:jc w:val="right"/>
              <w:rPr>
                <w:rFonts w:eastAsia="Arial"/>
                <w:lang w:val="en-US" w:eastAsia="en-US"/>
              </w:rPr>
            </w:pPr>
            <w:r w:rsidRPr="001243BC">
              <w:rPr>
                <w:rFonts w:eastAsia="Arial Narrow"/>
                <w:shd w:val="clear" w:color="auto" w:fill="FFFFFF"/>
                <w:lang w:bidi="ru-RU"/>
              </w:rPr>
              <w:t>30 291,5</w:t>
            </w:r>
          </w:p>
        </w:tc>
        <w:tc>
          <w:tcPr>
            <w:tcW w:w="680" w:type="pct"/>
            <w:shd w:val="clear" w:color="auto" w:fill="auto"/>
            <w:vAlign w:val="center"/>
          </w:tcPr>
          <w:p w14:paraId="1F429C14" w14:textId="77777777" w:rsidR="00005F5F" w:rsidRPr="001243BC" w:rsidRDefault="00005F5F" w:rsidP="00D01E34">
            <w:pPr>
              <w:widowControl w:val="0"/>
              <w:contextualSpacing/>
              <w:jc w:val="right"/>
              <w:rPr>
                <w:rFonts w:eastAsia="Arial"/>
                <w:lang w:val="en-US" w:eastAsia="en-US"/>
              </w:rPr>
            </w:pPr>
            <w:r w:rsidRPr="001243BC">
              <w:rPr>
                <w:rFonts w:eastAsia="Arial Narrow"/>
                <w:shd w:val="clear" w:color="auto" w:fill="FFFFFF"/>
                <w:lang w:bidi="en-US"/>
              </w:rPr>
              <w:t>–3 631,1</w:t>
            </w:r>
          </w:p>
        </w:tc>
        <w:tc>
          <w:tcPr>
            <w:tcW w:w="738" w:type="pct"/>
            <w:shd w:val="clear" w:color="auto" w:fill="auto"/>
            <w:vAlign w:val="center"/>
          </w:tcPr>
          <w:p w14:paraId="596A718C" w14:textId="77777777" w:rsidR="00005F5F" w:rsidRPr="001243BC" w:rsidRDefault="00005F5F" w:rsidP="00D01E34">
            <w:pPr>
              <w:widowControl w:val="0"/>
              <w:contextualSpacing/>
              <w:jc w:val="right"/>
              <w:rPr>
                <w:rFonts w:eastAsia="Arial"/>
                <w:lang w:val="en-US" w:eastAsia="en-US"/>
              </w:rPr>
            </w:pPr>
            <w:r w:rsidRPr="001243BC">
              <w:rPr>
                <w:rFonts w:eastAsia="Arial Narrow"/>
                <w:shd w:val="clear" w:color="auto" w:fill="FFFFFF"/>
                <w:lang w:bidi="ru-RU"/>
              </w:rPr>
              <w:t>74,4</w:t>
            </w:r>
          </w:p>
        </w:tc>
        <w:tc>
          <w:tcPr>
            <w:tcW w:w="444" w:type="pct"/>
            <w:shd w:val="clear" w:color="auto" w:fill="auto"/>
            <w:vAlign w:val="center"/>
          </w:tcPr>
          <w:p w14:paraId="6392F03C" w14:textId="77777777" w:rsidR="00005F5F" w:rsidRPr="001243BC" w:rsidRDefault="00005F5F" w:rsidP="00D01E34">
            <w:pPr>
              <w:widowControl w:val="0"/>
              <w:contextualSpacing/>
              <w:jc w:val="right"/>
              <w:rPr>
                <w:rFonts w:eastAsia="Arial"/>
                <w:lang w:val="en-US" w:eastAsia="en-US"/>
              </w:rPr>
            </w:pPr>
            <w:r w:rsidRPr="001243BC">
              <w:rPr>
                <w:rFonts w:eastAsia="Arial Narrow"/>
                <w:shd w:val="clear" w:color="auto" w:fill="FFFFFF"/>
                <w:lang w:bidi="ru-RU"/>
              </w:rPr>
              <w:t>73,9</w:t>
            </w:r>
          </w:p>
        </w:tc>
        <w:tc>
          <w:tcPr>
            <w:tcW w:w="590" w:type="pct"/>
            <w:shd w:val="clear" w:color="auto" w:fill="auto"/>
            <w:vAlign w:val="center"/>
          </w:tcPr>
          <w:p w14:paraId="1717089D" w14:textId="77777777" w:rsidR="00005F5F" w:rsidRPr="001243BC" w:rsidRDefault="00005F5F" w:rsidP="00D01E34">
            <w:pPr>
              <w:widowControl w:val="0"/>
              <w:contextualSpacing/>
              <w:jc w:val="right"/>
              <w:rPr>
                <w:rFonts w:eastAsia="Arial"/>
                <w:lang w:val="en-US" w:eastAsia="en-US"/>
              </w:rPr>
            </w:pPr>
            <w:r w:rsidRPr="001243BC">
              <w:rPr>
                <w:rFonts w:eastAsia="Arial Narrow"/>
                <w:shd w:val="clear" w:color="auto" w:fill="FFFFFF"/>
                <w:lang w:bidi="ru-RU"/>
              </w:rPr>
              <w:t>74,8</w:t>
            </w:r>
          </w:p>
        </w:tc>
      </w:tr>
      <w:tr w:rsidR="00005F5F" w:rsidRPr="001243BC" w14:paraId="37CD6AED" w14:textId="77777777" w:rsidTr="00005F5F">
        <w:trPr>
          <w:trHeight w:val="20"/>
        </w:trPr>
        <w:tc>
          <w:tcPr>
            <w:tcW w:w="659" w:type="pct"/>
            <w:shd w:val="clear" w:color="auto" w:fill="auto"/>
            <w:vAlign w:val="center"/>
          </w:tcPr>
          <w:p w14:paraId="72BD436E" w14:textId="77777777" w:rsidR="00005F5F" w:rsidRPr="001243BC" w:rsidRDefault="00005F5F" w:rsidP="00D01E34">
            <w:pPr>
              <w:widowControl w:val="0"/>
              <w:contextualSpacing/>
              <w:jc w:val="center"/>
              <w:rPr>
                <w:rFonts w:eastAsia="Arial"/>
                <w:lang w:val="en-US" w:eastAsia="en-US"/>
              </w:rPr>
            </w:pPr>
            <w:r w:rsidRPr="001243BC">
              <w:rPr>
                <w:rFonts w:eastAsia="Arial Narrow"/>
                <w:shd w:val="clear" w:color="auto" w:fill="FFFFFF"/>
                <w:lang w:bidi="en-US"/>
              </w:rPr>
              <w:t>2016</w:t>
            </w:r>
          </w:p>
        </w:tc>
        <w:tc>
          <w:tcPr>
            <w:tcW w:w="743" w:type="pct"/>
            <w:shd w:val="clear" w:color="auto" w:fill="auto"/>
            <w:vAlign w:val="center"/>
          </w:tcPr>
          <w:p w14:paraId="61D0CC6B" w14:textId="77777777" w:rsidR="00005F5F" w:rsidRPr="001243BC" w:rsidRDefault="00005F5F" w:rsidP="00D01E34">
            <w:pPr>
              <w:widowControl w:val="0"/>
              <w:contextualSpacing/>
              <w:jc w:val="right"/>
              <w:rPr>
                <w:rFonts w:eastAsia="Arial"/>
                <w:lang w:val="en-US" w:eastAsia="en-US"/>
              </w:rPr>
            </w:pPr>
            <w:r w:rsidRPr="001243BC">
              <w:rPr>
                <w:rFonts w:eastAsia="Arial Narrow"/>
                <w:shd w:val="clear" w:color="auto" w:fill="FFFFFF"/>
                <w:lang w:bidi="en-US"/>
              </w:rPr>
              <w:t>51 147,2</w:t>
            </w:r>
          </w:p>
        </w:tc>
        <w:tc>
          <w:tcPr>
            <w:tcW w:w="607" w:type="pct"/>
            <w:shd w:val="clear" w:color="auto" w:fill="auto"/>
            <w:vAlign w:val="center"/>
          </w:tcPr>
          <w:p w14:paraId="223F0FA5" w14:textId="77777777" w:rsidR="00005F5F" w:rsidRPr="001243BC" w:rsidRDefault="00005F5F" w:rsidP="00D01E34">
            <w:pPr>
              <w:widowControl w:val="0"/>
              <w:contextualSpacing/>
              <w:jc w:val="right"/>
              <w:rPr>
                <w:rFonts w:eastAsia="Arial"/>
                <w:lang w:val="en-US" w:eastAsia="en-US"/>
              </w:rPr>
            </w:pPr>
            <w:r w:rsidRPr="001243BC">
              <w:rPr>
                <w:rFonts w:eastAsia="Arial Narrow"/>
                <w:shd w:val="clear" w:color="auto" w:fill="FFFFFF"/>
                <w:lang w:bidi="en-US"/>
              </w:rPr>
              <w:t>23537,3</w:t>
            </w:r>
          </w:p>
        </w:tc>
        <w:tc>
          <w:tcPr>
            <w:tcW w:w="540" w:type="pct"/>
            <w:shd w:val="clear" w:color="auto" w:fill="auto"/>
            <w:vAlign w:val="center"/>
          </w:tcPr>
          <w:p w14:paraId="6848008F" w14:textId="77777777" w:rsidR="00005F5F" w:rsidRPr="001243BC" w:rsidRDefault="00005F5F" w:rsidP="00D01E34">
            <w:pPr>
              <w:widowControl w:val="0"/>
              <w:contextualSpacing/>
              <w:jc w:val="right"/>
              <w:rPr>
                <w:rFonts w:eastAsia="Arial"/>
                <w:lang w:val="en-US" w:eastAsia="en-US"/>
              </w:rPr>
            </w:pPr>
            <w:r w:rsidRPr="001243BC">
              <w:rPr>
                <w:rFonts w:eastAsia="Arial Narrow"/>
                <w:shd w:val="clear" w:color="auto" w:fill="FFFFFF"/>
                <w:lang w:bidi="ru-RU"/>
              </w:rPr>
              <w:t>27609,9</w:t>
            </w:r>
          </w:p>
        </w:tc>
        <w:tc>
          <w:tcPr>
            <w:tcW w:w="680" w:type="pct"/>
            <w:shd w:val="clear" w:color="auto" w:fill="auto"/>
            <w:vAlign w:val="center"/>
          </w:tcPr>
          <w:p w14:paraId="2D4A6310" w14:textId="77777777" w:rsidR="00005F5F" w:rsidRPr="001243BC" w:rsidRDefault="00005F5F" w:rsidP="00D01E34">
            <w:pPr>
              <w:widowControl w:val="0"/>
              <w:contextualSpacing/>
              <w:jc w:val="right"/>
              <w:rPr>
                <w:rFonts w:eastAsia="Arial"/>
                <w:lang w:val="en-US" w:eastAsia="en-US"/>
              </w:rPr>
            </w:pPr>
            <w:r w:rsidRPr="001243BC">
              <w:rPr>
                <w:rFonts w:eastAsia="Arial Narrow"/>
                <w:shd w:val="clear" w:color="auto" w:fill="FFFFFF"/>
                <w:lang w:bidi="en-US"/>
              </w:rPr>
              <w:t>–4 072,6</w:t>
            </w:r>
          </w:p>
        </w:tc>
        <w:tc>
          <w:tcPr>
            <w:tcW w:w="738" w:type="pct"/>
            <w:shd w:val="clear" w:color="auto" w:fill="auto"/>
            <w:vAlign w:val="center"/>
          </w:tcPr>
          <w:p w14:paraId="19C732FC" w14:textId="77777777" w:rsidR="00005F5F" w:rsidRPr="001243BC" w:rsidRDefault="00005F5F" w:rsidP="00D01E34">
            <w:pPr>
              <w:widowControl w:val="0"/>
              <w:contextualSpacing/>
              <w:jc w:val="right"/>
              <w:rPr>
                <w:rFonts w:eastAsia="Arial"/>
                <w:lang w:val="en-US" w:eastAsia="en-US"/>
              </w:rPr>
            </w:pPr>
            <w:r w:rsidRPr="001243BC">
              <w:rPr>
                <w:rFonts w:eastAsia="Arial Narrow"/>
                <w:shd w:val="clear" w:color="auto" w:fill="FFFFFF"/>
                <w:lang w:bidi="ru-RU"/>
              </w:rPr>
              <w:t>89,8</w:t>
            </w:r>
          </w:p>
        </w:tc>
        <w:tc>
          <w:tcPr>
            <w:tcW w:w="444" w:type="pct"/>
            <w:shd w:val="clear" w:color="auto" w:fill="auto"/>
            <w:vAlign w:val="center"/>
          </w:tcPr>
          <w:p w14:paraId="09FB9CAE" w14:textId="77777777" w:rsidR="00005F5F" w:rsidRPr="001243BC" w:rsidRDefault="00005F5F" w:rsidP="00D01E34">
            <w:pPr>
              <w:widowControl w:val="0"/>
              <w:contextualSpacing/>
              <w:jc w:val="right"/>
              <w:rPr>
                <w:rFonts w:eastAsia="Arial"/>
                <w:lang w:val="en-US" w:eastAsia="en-US"/>
              </w:rPr>
            </w:pPr>
            <w:r w:rsidRPr="001243BC">
              <w:rPr>
                <w:rFonts w:eastAsia="Arial Narrow"/>
                <w:shd w:val="clear" w:color="auto" w:fill="FFFFFF"/>
                <w:lang w:bidi="ru-RU"/>
              </w:rPr>
              <w:t>88,3</w:t>
            </w:r>
          </w:p>
        </w:tc>
        <w:tc>
          <w:tcPr>
            <w:tcW w:w="590" w:type="pct"/>
            <w:shd w:val="clear" w:color="auto" w:fill="auto"/>
            <w:vAlign w:val="center"/>
          </w:tcPr>
          <w:p w14:paraId="14B67C5B" w14:textId="77777777" w:rsidR="00005F5F" w:rsidRPr="001243BC" w:rsidRDefault="00005F5F" w:rsidP="00D01E34">
            <w:pPr>
              <w:widowControl w:val="0"/>
              <w:contextualSpacing/>
              <w:jc w:val="right"/>
              <w:rPr>
                <w:rFonts w:eastAsia="Arial"/>
                <w:lang w:val="en-US" w:eastAsia="en-US"/>
              </w:rPr>
            </w:pPr>
            <w:r w:rsidRPr="001243BC">
              <w:rPr>
                <w:rFonts w:eastAsia="Arial Narrow"/>
                <w:shd w:val="clear" w:color="auto" w:fill="FFFFFF"/>
                <w:lang w:bidi="ru-RU"/>
              </w:rPr>
              <w:t>91,1</w:t>
            </w:r>
          </w:p>
        </w:tc>
      </w:tr>
      <w:tr w:rsidR="00005F5F" w:rsidRPr="001243BC" w14:paraId="3A561630" w14:textId="77777777" w:rsidTr="00005F5F">
        <w:trPr>
          <w:trHeight w:val="20"/>
        </w:trPr>
        <w:tc>
          <w:tcPr>
            <w:tcW w:w="659" w:type="pct"/>
            <w:shd w:val="clear" w:color="auto" w:fill="auto"/>
            <w:vAlign w:val="center"/>
          </w:tcPr>
          <w:p w14:paraId="5E8BE4F5" w14:textId="77777777" w:rsidR="00005F5F" w:rsidRPr="001243BC" w:rsidRDefault="00005F5F" w:rsidP="00D01E34">
            <w:pPr>
              <w:widowControl w:val="0"/>
              <w:contextualSpacing/>
              <w:jc w:val="center"/>
              <w:rPr>
                <w:rFonts w:eastAsia="Arial"/>
                <w:lang w:val="en-US" w:eastAsia="en-US"/>
              </w:rPr>
            </w:pPr>
            <w:r w:rsidRPr="001243BC">
              <w:rPr>
                <w:rFonts w:eastAsia="Arial Narrow"/>
                <w:shd w:val="clear" w:color="auto" w:fill="FFFFFF"/>
                <w:lang w:bidi="en-US"/>
              </w:rPr>
              <w:t>2017</w:t>
            </w:r>
          </w:p>
        </w:tc>
        <w:tc>
          <w:tcPr>
            <w:tcW w:w="743" w:type="pct"/>
            <w:shd w:val="clear" w:color="auto" w:fill="auto"/>
            <w:vAlign w:val="center"/>
          </w:tcPr>
          <w:p w14:paraId="37DB6332" w14:textId="77777777" w:rsidR="00005F5F" w:rsidRPr="001243BC" w:rsidRDefault="00005F5F" w:rsidP="00D01E34">
            <w:pPr>
              <w:widowControl w:val="0"/>
              <w:contextualSpacing/>
              <w:jc w:val="right"/>
              <w:rPr>
                <w:rFonts w:eastAsia="Arial"/>
                <w:lang w:val="en-US" w:eastAsia="en-US"/>
              </w:rPr>
            </w:pPr>
            <w:r w:rsidRPr="001243BC">
              <w:rPr>
                <w:rFonts w:eastAsia="Arial Narrow"/>
                <w:shd w:val="clear" w:color="auto" w:fill="FFFFFF"/>
                <w:lang w:bidi="en-US"/>
              </w:rPr>
              <w:t>63 474,9</w:t>
            </w:r>
          </w:p>
        </w:tc>
        <w:tc>
          <w:tcPr>
            <w:tcW w:w="607" w:type="pct"/>
            <w:shd w:val="clear" w:color="auto" w:fill="auto"/>
            <w:vAlign w:val="center"/>
          </w:tcPr>
          <w:p w14:paraId="767946FC" w14:textId="77777777" w:rsidR="00005F5F" w:rsidRPr="001243BC" w:rsidRDefault="00005F5F" w:rsidP="00D01E34">
            <w:pPr>
              <w:widowControl w:val="0"/>
              <w:contextualSpacing/>
              <w:jc w:val="right"/>
              <w:rPr>
                <w:rFonts w:eastAsia="Arial"/>
                <w:lang w:val="en-US" w:eastAsia="en-US"/>
              </w:rPr>
            </w:pPr>
            <w:r w:rsidRPr="001243BC">
              <w:rPr>
                <w:rFonts w:eastAsia="Arial Narrow"/>
                <w:shd w:val="clear" w:color="auto" w:fill="FFFFFF"/>
                <w:lang w:bidi="en-US"/>
              </w:rPr>
              <w:t>29 240,0</w:t>
            </w:r>
          </w:p>
        </w:tc>
        <w:tc>
          <w:tcPr>
            <w:tcW w:w="540" w:type="pct"/>
            <w:shd w:val="clear" w:color="auto" w:fill="auto"/>
            <w:vAlign w:val="center"/>
          </w:tcPr>
          <w:p w14:paraId="25A518E0" w14:textId="77777777" w:rsidR="00005F5F" w:rsidRPr="001243BC" w:rsidRDefault="00005F5F" w:rsidP="00D01E34">
            <w:pPr>
              <w:widowControl w:val="0"/>
              <w:contextualSpacing/>
              <w:jc w:val="right"/>
              <w:rPr>
                <w:rFonts w:eastAsia="Arial"/>
                <w:lang w:val="en-US" w:eastAsia="en-US"/>
              </w:rPr>
            </w:pPr>
            <w:r w:rsidRPr="001243BC">
              <w:rPr>
                <w:rFonts w:eastAsia="Arial Narrow"/>
                <w:shd w:val="clear" w:color="auto" w:fill="FFFFFF"/>
                <w:lang w:bidi="ru-RU"/>
              </w:rPr>
              <w:t>34 234,9</w:t>
            </w:r>
          </w:p>
        </w:tc>
        <w:tc>
          <w:tcPr>
            <w:tcW w:w="680" w:type="pct"/>
            <w:shd w:val="clear" w:color="auto" w:fill="auto"/>
            <w:vAlign w:val="center"/>
          </w:tcPr>
          <w:p w14:paraId="49B80F6F" w14:textId="77777777" w:rsidR="00005F5F" w:rsidRPr="001243BC" w:rsidRDefault="00005F5F" w:rsidP="00D01E34">
            <w:pPr>
              <w:widowControl w:val="0"/>
              <w:contextualSpacing/>
              <w:jc w:val="right"/>
              <w:rPr>
                <w:rFonts w:eastAsia="Arial"/>
                <w:lang w:val="en-US" w:eastAsia="en-US"/>
              </w:rPr>
            </w:pPr>
            <w:r w:rsidRPr="001243BC">
              <w:rPr>
                <w:rFonts w:eastAsia="Arial Narrow"/>
                <w:shd w:val="clear" w:color="auto" w:fill="FFFFFF"/>
                <w:lang w:bidi="en-US"/>
              </w:rPr>
              <w:t>–4 994,9</w:t>
            </w:r>
          </w:p>
        </w:tc>
        <w:tc>
          <w:tcPr>
            <w:tcW w:w="738" w:type="pct"/>
            <w:shd w:val="clear" w:color="auto" w:fill="auto"/>
            <w:vAlign w:val="center"/>
          </w:tcPr>
          <w:p w14:paraId="3534E8CC" w14:textId="77777777" w:rsidR="00005F5F" w:rsidRPr="001243BC" w:rsidRDefault="00005F5F" w:rsidP="00D01E34">
            <w:pPr>
              <w:widowControl w:val="0"/>
              <w:contextualSpacing/>
              <w:jc w:val="right"/>
              <w:rPr>
                <w:rFonts w:eastAsia="Arial"/>
                <w:lang w:val="en-US" w:eastAsia="en-US"/>
              </w:rPr>
            </w:pPr>
            <w:r w:rsidRPr="001243BC">
              <w:rPr>
                <w:rFonts w:eastAsia="Arial Narrow"/>
                <w:shd w:val="clear" w:color="auto" w:fill="FFFFFF"/>
                <w:lang w:bidi="ru-RU"/>
              </w:rPr>
              <w:t>124,1</w:t>
            </w:r>
          </w:p>
        </w:tc>
        <w:tc>
          <w:tcPr>
            <w:tcW w:w="444" w:type="pct"/>
            <w:shd w:val="clear" w:color="auto" w:fill="auto"/>
            <w:vAlign w:val="center"/>
          </w:tcPr>
          <w:p w14:paraId="49D39AEC" w14:textId="77777777" w:rsidR="00005F5F" w:rsidRPr="001243BC" w:rsidRDefault="00005F5F" w:rsidP="00D01E34">
            <w:pPr>
              <w:widowControl w:val="0"/>
              <w:contextualSpacing/>
              <w:jc w:val="right"/>
              <w:rPr>
                <w:rFonts w:eastAsia="Arial"/>
                <w:lang w:val="en-US" w:eastAsia="en-US"/>
              </w:rPr>
            </w:pPr>
            <w:r w:rsidRPr="001243BC">
              <w:rPr>
                <w:rFonts w:eastAsia="Arial Narrow"/>
                <w:shd w:val="clear" w:color="auto" w:fill="FFFFFF"/>
                <w:lang w:bidi="ru-RU"/>
              </w:rPr>
              <w:t>124,2</w:t>
            </w:r>
          </w:p>
        </w:tc>
        <w:tc>
          <w:tcPr>
            <w:tcW w:w="590" w:type="pct"/>
            <w:shd w:val="clear" w:color="auto" w:fill="auto"/>
            <w:vAlign w:val="center"/>
          </w:tcPr>
          <w:p w14:paraId="55EB2E25" w14:textId="77777777" w:rsidR="00005F5F" w:rsidRPr="001243BC" w:rsidRDefault="00005F5F" w:rsidP="00D01E34">
            <w:pPr>
              <w:widowControl w:val="0"/>
              <w:contextualSpacing/>
              <w:jc w:val="right"/>
              <w:rPr>
                <w:rFonts w:eastAsia="Arial"/>
                <w:lang w:val="en-US" w:eastAsia="en-US"/>
              </w:rPr>
            </w:pPr>
            <w:r w:rsidRPr="001243BC">
              <w:rPr>
                <w:rFonts w:eastAsia="Arial Narrow"/>
                <w:shd w:val="clear" w:color="auto" w:fill="FFFFFF"/>
                <w:lang w:bidi="ru-RU"/>
              </w:rPr>
              <w:t>124,0</w:t>
            </w:r>
          </w:p>
        </w:tc>
      </w:tr>
      <w:tr w:rsidR="00005F5F" w:rsidRPr="001243BC" w14:paraId="74AAB6FB" w14:textId="77777777" w:rsidTr="00005F5F">
        <w:trPr>
          <w:trHeight w:val="20"/>
        </w:trPr>
        <w:tc>
          <w:tcPr>
            <w:tcW w:w="659" w:type="pct"/>
            <w:shd w:val="clear" w:color="auto" w:fill="auto"/>
            <w:vAlign w:val="center"/>
          </w:tcPr>
          <w:p w14:paraId="139DF3A0" w14:textId="77777777" w:rsidR="00005F5F" w:rsidRPr="001243BC" w:rsidRDefault="00005F5F" w:rsidP="00D01E34">
            <w:pPr>
              <w:widowControl w:val="0"/>
              <w:contextualSpacing/>
              <w:jc w:val="center"/>
              <w:rPr>
                <w:rFonts w:eastAsia="Arial Narrow"/>
                <w:shd w:val="clear" w:color="auto" w:fill="FFFFFF"/>
                <w:lang w:bidi="en-US"/>
              </w:rPr>
            </w:pPr>
            <w:r w:rsidRPr="001243BC">
              <w:rPr>
                <w:rFonts w:eastAsia="Arial Narrow"/>
                <w:shd w:val="clear" w:color="auto" w:fill="FFFFFF"/>
                <w:lang w:bidi="en-US"/>
              </w:rPr>
              <w:t>2018</w:t>
            </w:r>
          </w:p>
        </w:tc>
        <w:tc>
          <w:tcPr>
            <w:tcW w:w="743" w:type="pct"/>
            <w:shd w:val="clear" w:color="auto" w:fill="auto"/>
            <w:vAlign w:val="center"/>
          </w:tcPr>
          <w:p w14:paraId="2D97FFD7" w14:textId="77777777" w:rsidR="00005F5F" w:rsidRPr="001243BC" w:rsidRDefault="00005F5F" w:rsidP="00D01E34">
            <w:pPr>
              <w:widowControl w:val="0"/>
              <w:contextualSpacing/>
              <w:jc w:val="right"/>
              <w:rPr>
                <w:rFonts w:eastAsia="Arial Narrow"/>
                <w:shd w:val="clear" w:color="auto" w:fill="FFFFFF"/>
                <w:lang w:bidi="en-US"/>
              </w:rPr>
            </w:pPr>
            <w:r w:rsidRPr="001243BC">
              <w:rPr>
                <w:rFonts w:eastAsia="Arial Narrow"/>
                <w:shd w:val="clear" w:color="auto" w:fill="FFFFFF"/>
                <w:lang w:bidi="en-US"/>
              </w:rPr>
              <w:t>72 348,1</w:t>
            </w:r>
          </w:p>
        </w:tc>
        <w:tc>
          <w:tcPr>
            <w:tcW w:w="607" w:type="pct"/>
            <w:shd w:val="clear" w:color="auto" w:fill="auto"/>
            <w:vAlign w:val="center"/>
          </w:tcPr>
          <w:p w14:paraId="3B3EB638" w14:textId="77777777" w:rsidR="00005F5F" w:rsidRPr="001243BC" w:rsidRDefault="00005F5F" w:rsidP="00D01E34">
            <w:pPr>
              <w:widowControl w:val="0"/>
              <w:contextualSpacing/>
              <w:jc w:val="right"/>
              <w:rPr>
                <w:rFonts w:eastAsia="Arial Narrow"/>
                <w:shd w:val="clear" w:color="auto" w:fill="FFFFFF"/>
                <w:lang w:bidi="en-US"/>
              </w:rPr>
            </w:pPr>
            <w:r w:rsidRPr="001243BC">
              <w:rPr>
                <w:rFonts w:eastAsia="Calibri"/>
                <w:lang w:val="en-US"/>
              </w:rPr>
              <w:t>33 907,0</w:t>
            </w:r>
          </w:p>
        </w:tc>
        <w:tc>
          <w:tcPr>
            <w:tcW w:w="540" w:type="pct"/>
            <w:shd w:val="clear" w:color="auto" w:fill="auto"/>
            <w:vAlign w:val="center"/>
          </w:tcPr>
          <w:p w14:paraId="6FE15762" w14:textId="77777777" w:rsidR="00005F5F" w:rsidRPr="001243BC" w:rsidRDefault="00005F5F" w:rsidP="00D01E34">
            <w:pPr>
              <w:widowControl w:val="0"/>
              <w:contextualSpacing/>
              <w:jc w:val="right"/>
              <w:rPr>
                <w:rFonts w:eastAsia="Arial Narrow"/>
                <w:shd w:val="clear" w:color="auto" w:fill="FFFFFF"/>
                <w:lang w:bidi="ru-RU"/>
              </w:rPr>
            </w:pPr>
            <w:r w:rsidRPr="001243BC">
              <w:rPr>
                <w:rFonts w:eastAsia="Calibri"/>
                <w:lang w:val="en-US"/>
              </w:rPr>
              <w:t>38 441,1</w:t>
            </w:r>
          </w:p>
        </w:tc>
        <w:tc>
          <w:tcPr>
            <w:tcW w:w="680" w:type="pct"/>
            <w:shd w:val="clear" w:color="auto" w:fill="auto"/>
            <w:vAlign w:val="center"/>
          </w:tcPr>
          <w:p w14:paraId="32E25106" w14:textId="77777777" w:rsidR="00005F5F" w:rsidRPr="001243BC" w:rsidRDefault="00005F5F" w:rsidP="00D01E34">
            <w:pPr>
              <w:widowControl w:val="0"/>
              <w:contextualSpacing/>
              <w:jc w:val="right"/>
              <w:rPr>
                <w:rFonts w:eastAsia="Arial Narrow"/>
                <w:shd w:val="clear" w:color="auto" w:fill="FFFFFF"/>
                <w:lang w:bidi="en-US"/>
              </w:rPr>
            </w:pPr>
            <w:r w:rsidRPr="001243BC">
              <w:rPr>
                <w:rFonts w:eastAsia="Arial Narrow"/>
                <w:shd w:val="clear" w:color="auto" w:fill="FFFFFF"/>
                <w:lang w:bidi="en-US"/>
              </w:rPr>
              <w:t>–4 534,1</w:t>
            </w:r>
          </w:p>
        </w:tc>
        <w:tc>
          <w:tcPr>
            <w:tcW w:w="738" w:type="pct"/>
            <w:shd w:val="clear" w:color="auto" w:fill="auto"/>
            <w:vAlign w:val="center"/>
          </w:tcPr>
          <w:p w14:paraId="2F4B27ED" w14:textId="77777777" w:rsidR="00005F5F" w:rsidRPr="001243BC" w:rsidRDefault="00005F5F" w:rsidP="00D01E34">
            <w:pPr>
              <w:widowControl w:val="0"/>
              <w:contextualSpacing/>
              <w:jc w:val="right"/>
              <w:rPr>
                <w:rFonts w:eastAsia="Arial Narrow"/>
                <w:shd w:val="clear" w:color="auto" w:fill="FFFFFF"/>
                <w:lang w:bidi="ru-RU"/>
              </w:rPr>
            </w:pPr>
            <w:r w:rsidRPr="001243BC">
              <w:rPr>
                <w:rFonts w:eastAsia="Arial Narrow"/>
                <w:shd w:val="clear" w:color="auto" w:fill="FFFFFF"/>
                <w:lang w:bidi="ru-RU"/>
              </w:rPr>
              <w:t>114,0</w:t>
            </w:r>
          </w:p>
        </w:tc>
        <w:tc>
          <w:tcPr>
            <w:tcW w:w="444" w:type="pct"/>
            <w:shd w:val="clear" w:color="auto" w:fill="auto"/>
            <w:vAlign w:val="center"/>
          </w:tcPr>
          <w:p w14:paraId="71477348" w14:textId="77777777" w:rsidR="00005F5F" w:rsidRPr="001243BC" w:rsidRDefault="00005F5F" w:rsidP="00D01E34">
            <w:pPr>
              <w:widowControl w:val="0"/>
              <w:contextualSpacing/>
              <w:jc w:val="right"/>
              <w:rPr>
                <w:rFonts w:eastAsia="Arial Narrow"/>
                <w:shd w:val="clear" w:color="auto" w:fill="FFFFFF"/>
                <w:lang w:bidi="ru-RU"/>
              </w:rPr>
            </w:pPr>
            <w:r w:rsidRPr="001243BC">
              <w:rPr>
                <w:rFonts w:eastAsia="Arial Narrow"/>
                <w:shd w:val="clear" w:color="auto" w:fill="FFFFFF"/>
                <w:lang w:bidi="ru-RU"/>
              </w:rPr>
              <w:t>116,0</w:t>
            </w:r>
          </w:p>
        </w:tc>
        <w:tc>
          <w:tcPr>
            <w:tcW w:w="590" w:type="pct"/>
            <w:shd w:val="clear" w:color="auto" w:fill="auto"/>
            <w:vAlign w:val="center"/>
          </w:tcPr>
          <w:p w14:paraId="5D1E763C" w14:textId="77777777" w:rsidR="00005F5F" w:rsidRPr="001243BC" w:rsidRDefault="00005F5F" w:rsidP="00D01E34">
            <w:pPr>
              <w:widowControl w:val="0"/>
              <w:contextualSpacing/>
              <w:jc w:val="right"/>
              <w:rPr>
                <w:rFonts w:eastAsia="Arial Narrow"/>
                <w:shd w:val="clear" w:color="auto" w:fill="FFFFFF"/>
                <w:lang w:bidi="ru-RU"/>
              </w:rPr>
            </w:pPr>
            <w:r w:rsidRPr="001243BC">
              <w:rPr>
                <w:rFonts w:eastAsia="Arial Narrow"/>
                <w:shd w:val="clear" w:color="auto" w:fill="FFFFFF"/>
                <w:lang w:bidi="ru-RU"/>
              </w:rPr>
              <w:t>112,3</w:t>
            </w:r>
          </w:p>
        </w:tc>
      </w:tr>
      <w:tr w:rsidR="00005F5F" w:rsidRPr="001243BC" w14:paraId="6AD3B3A2" w14:textId="77777777" w:rsidTr="00005F5F">
        <w:trPr>
          <w:trHeight w:val="20"/>
        </w:trPr>
        <w:tc>
          <w:tcPr>
            <w:tcW w:w="659" w:type="pct"/>
            <w:shd w:val="clear" w:color="auto" w:fill="auto"/>
            <w:vAlign w:val="center"/>
          </w:tcPr>
          <w:p w14:paraId="543ABD8F" w14:textId="77777777" w:rsidR="00005F5F" w:rsidRPr="001243BC" w:rsidRDefault="00005F5F" w:rsidP="00D01E34">
            <w:pPr>
              <w:widowControl w:val="0"/>
              <w:contextualSpacing/>
              <w:jc w:val="center"/>
              <w:rPr>
                <w:rFonts w:eastAsia="Arial Narrow"/>
                <w:shd w:val="clear" w:color="auto" w:fill="FFFFFF"/>
                <w:lang w:bidi="en-US"/>
              </w:rPr>
            </w:pPr>
            <w:r w:rsidRPr="001243BC">
              <w:rPr>
                <w:rFonts w:eastAsia="Arial Narrow"/>
                <w:shd w:val="clear" w:color="auto" w:fill="FFFFFF"/>
                <w:lang w:bidi="en-US"/>
              </w:rPr>
              <w:t>2019</w:t>
            </w:r>
          </w:p>
        </w:tc>
        <w:tc>
          <w:tcPr>
            <w:tcW w:w="743" w:type="pct"/>
            <w:shd w:val="clear" w:color="auto" w:fill="auto"/>
            <w:vAlign w:val="center"/>
          </w:tcPr>
          <w:p w14:paraId="6C86F2E2" w14:textId="77777777" w:rsidR="00005F5F" w:rsidRPr="001243BC" w:rsidRDefault="00005F5F" w:rsidP="00D01E34">
            <w:pPr>
              <w:widowControl w:val="0"/>
              <w:contextualSpacing/>
              <w:jc w:val="right"/>
              <w:rPr>
                <w:rFonts w:eastAsia="Arial Narrow"/>
                <w:shd w:val="clear" w:color="auto" w:fill="FFFFFF"/>
                <w:lang w:bidi="en-US"/>
              </w:rPr>
            </w:pPr>
            <w:r w:rsidRPr="001243BC">
              <w:rPr>
                <w:rFonts w:eastAsia="Arial Narrow"/>
                <w:shd w:val="clear" w:color="auto" w:fill="FFFFFF"/>
                <w:lang w:bidi="en-US"/>
              </w:rPr>
              <w:t>72 431,8</w:t>
            </w:r>
          </w:p>
        </w:tc>
        <w:tc>
          <w:tcPr>
            <w:tcW w:w="607" w:type="pct"/>
            <w:shd w:val="clear" w:color="auto" w:fill="auto"/>
            <w:vAlign w:val="center"/>
          </w:tcPr>
          <w:p w14:paraId="1020C370" w14:textId="77777777" w:rsidR="00005F5F" w:rsidRPr="001243BC" w:rsidRDefault="00005F5F" w:rsidP="00D01E34">
            <w:pPr>
              <w:widowControl w:val="0"/>
              <w:contextualSpacing/>
              <w:jc w:val="right"/>
              <w:rPr>
                <w:rFonts w:eastAsia="Calibri"/>
                <w:lang w:val="en-US"/>
              </w:rPr>
            </w:pPr>
            <w:r w:rsidRPr="001243BC">
              <w:rPr>
                <w:rFonts w:eastAsia="Calibri"/>
                <w:lang w:val="en-US"/>
              </w:rPr>
              <w:t>32 955,1</w:t>
            </w:r>
          </w:p>
        </w:tc>
        <w:tc>
          <w:tcPr>
            <w:tcW w:w="540" w:type="pct"/>
            <w:shd w:val="clear" w:color="auto" w:fill="auto"/>
            <w:vAlign w:val="center"/>
          </w:tcPr>
          <w:p w14:paraId="53F65290" w14:textId="77777777" w:rsidR="00005F5F" w:rsidRPr="001243BC" w:rsidRDefault="00005F5F" w:rsidP="00D01E34">
            <w:pPr>
              <w:widowControl w:val="0"/>
              <w:contextualSpacing/>
              <w:jc w:val="right"/>
              <w:rPr>
                <w:rFonts w:eastAsia="Calibri"/>
                <w:lang w:val="en-US"/>
              </w:rPr>
            </w:pPr>
            <w:r w:rsidRPr="001243BC">
              <w:rPr>
                <w:rFonts w:eastAsia="Calibri"/>
                <w:lang w:val="en-US"/>
              </w:rPr>
              <w:t>39 476,7</w:t>
            </w:r>
          </w:p>
        </w:tc>
        <w:tc>
          <w:tcPr>
            <w:tcW w:w="680" w:type="pct"/>
            <w:shd w:val="clear" w:color="auto" w:fill="auto"/>
            <w:vAlign w:val="center"/>
          </w:tcPr>
          <w:p w14:paraId="2BCA44F7" w14:textId="77777777" w:rsidR="00005F5F" w:rsidRPr="001243BC" w:rsidRDefault="00005F5F" w:rsidP="00D01E34">
            <w:pPr>
              <w:widowControl w:val="0"/>
              <w:contextualSpacing/>
              <w:jc w:val="right"/>
              <w:rPr>
                <w:rFonts w:eastAsia="Arial Narrow"/>
                <w:shd w:val="clear" w:color="auto" w:fill="FFFFFF"/>
                <w:lang w:bidi="en-US"/>
              </w:rPr>
            </w:pPr>
            <w:r w:rsidRPr="001243BC">
              <w:rPr>
                <w:rFonts w:eastAsia="Arial Narrow"/>
                <w:shd w:val="clear" w:color="auto" w:fill="FFFFFF"/>
                <w:lang w:bidi="en-US"/>
              </w:rPr>
              <w:t>–6 521,6</w:t>
            </w:r>
          </w:p>
        </w:tc>
        <w:tc>
          <w:tcPr>
            <w:tcW w:w="738" w:type="pct"/>
            <w:shd w:val="clear" w:color="auto" w:fill="auto"/>
            <w:vAlign w:val="center"/>
          </w:tcPr>
          <w:p w14:paraId="09C48BBB" w14:textId="77777777" w:rsidR="00005F5F" w:rsidRPr="001243BC" w:rsidRDefault="00005F5F" w:rsidP="00D01E34">
            <w:pPr>
              <w:widowControl w:val="0"/>
              <w:contextualSpacing/>
              <w:jc w:val="right"/>
              <w:rPr>
                <w:rFonts w:eastAsia="Arial Narrow"/>
                <w:shd w:val="clear" w:color="auto" w:fill="FFFFFF"/>
                <w:lang w:bidi="ru-RU"/>
              </w:rPr>
            </w:pPr>
            <w:r w:rsidRPr="001243BC">
              <w:rPr>
                <w:rFonts w:eastAsia="Arial Narrow"/>
                <w:shd w:val="clear" w:color="auto" w:fill="FFFFFF"/>
                <w:lang w:bidi="ru-RU"/>
              </w:rPr>
              <w:t>100,1</w:t>
            </w:r>
          </w:p>
        </w:tc>
        <w:tc>
          <w:tcPr>
            <w:tcW w:w="444" w:type="pct"/>
            <w:shd w:val="clear" w:color="auto" w:fill="auto"/>
            <w:vAlign w:val="center"/>
          </w:tcPr>
          <w:p w14:paraId="543129CC" w14:textId="77777777" w:rsidR="00005F5F" w:rsidRPr="001243BC" w:rsidRDefault="00005F5F" w:rsidP="00D01E34">
            <w:pPr>
              <w:widowControl w:val="0"/>
              <w:contextualSpacing/>
              <w:jc w:val="right"/>
              <w:rPr>
                <w:rFonts w:eastAsia="Arial Narrow"/>
                <w:shd w:val="clear" w:color="auto" w:fill="FFFFFF"/>
                <w:lang w:bidi="ru-RU"/>
              </w:rPr>
            </w:pPr>
            <w:r w:rsidRPr="001243BC">
              <w:rPr>
                <w:rFonts w:eastAsia="Arial Narrow"/>
                <w:shd w:val="clear" w:color="auto" w:fill="FFFFFF"/>
                <w:lang w:bidi="ru-RU"/>
              </w:rPr>
              <w:t>97,2</w:t>
            </w:r>
          </w:p>
        </w:tc>
        <w:tc>
          <w:tcPr>
            <w:tcW w:w="590" w:type="pct"/>
            <w:shd w:val="clear" w:color="auto" w:fill="auto"/>
            <w:vAlign w:val="center"/>
          </w:tcPr>
          <w:p w14:paraId="7D1D5F08" w14:textId="77777777" w:rsidR="00005F5F" w:rsidRPr="001243BC" w:rsidRDefault="00005F5F" w:rsidP="00D01E34">
            <w:pPr>
              <w:widowControl w:val="0"/>
              <w:contextualSpacing/>
              <w:jc w:val="right"/>
              <w:rPr>
                <w:rFonts w:eastAsia="Arial Narrow"/>
                <w:shd w:val="clear" w:color="auto" w:fill="FFFFFF"/>
                <w:lang w:bidi="ru-RU"/>
              </w:rPr>
            </w:pPr>
            <w:r w:rsidRPr="001243BC">
              <w:rPr>
                <w:rFonts w:eastAsia="Arial Narrow"/>
                <w:shd w:val="clear" w:color="auto" w:fill="FFFFFF"/>
                <w:lang w:bidi="ru-RU"/>
              </w:rPr>
              <w:t>102,7</w:t>
            </w:r>
          </w:p>
        </w:tc>
      </w:tr>
    </w:tbl>
    <w:p w14:paraId="5B2D6B17" w14:textId="77823991" w:rsidR="00005F5F" w:rsidRDefault="004D4D3E" w:rsidP="005D3FE7">
      <w:pPr>
        <w:ind w:firstLine="709"/>
        <w:jc w:val="both"/>
        <w:rPr>
          <w:rFonts w:eastAsia="Calibri"/>
          <w:lang w:eastAsia="en-US"/>
        </w:rPr>
      </w:pPr>
      <w:r>
        <w:rPr>
          <w:rFonts w:eastAsia="Calibri"/>
          <w:lang w:val="en-US" w:eastAsia="en-US"/>
        </w:rPr>
        <w:t>Note</w:t>
      </w:r>
      <w:r w:rsidR="00005F5F" w:rsidRPr="00005F5F">
        <w:rPr>
          <w:rFonts w:eastAsia="Calibri"/>
          <w:lang w:eastAsia="en-US"/>
        </w:rPr>
        <w:t xml:space="preserve"> - </w:t>
      </w:r>
      <w:r>
        <w:rPr>
          <w:rFonts w:eastAsia="Calibri"/>
          <w:lang w:val="en-US" w:eastAsia="en-US"/>
        </w:rPr>
        <w:t>Source</w:t>
      </w:r>
      <w:r w:rsidR="00005F5F" w:rsidRPr="00005F5F">
        <w:rPr>
          <w:rFonts w:eastAsia="Calibri"/>
          <w:lang w:eastAsia="en-US"/>
        </w:rPr>
        <w:t>: [2].</w:t>
      </w:r>
    </w:p>
    <w:p w14:paraId="4A7CF577" w14:textId="46DE4C60" w:rsidR="00005F5F" w:rsidRPr="00005F5F" w:rsidRDefault="00005F5F" w:rsidP="003755D5">
      <w:pPr>
        <w:spacing w:line="360" w:lineRule="auto"/>
        <w:ind w:firstLine="709"/>
        <w:jc w:val="both"/>
        <w:rPr>
          <w:sz w:val="28"/>
          <w:szCs w:val="28"/>
          <w:lang w:val="en-US"/>
        </w:rPr>
      </w:pPr>
      <w:r w:rsidRPr="00005F5F">
        <w:rPr>
          <w:sz w:val="28"/>
          <w:szCs w:val="28"/>
          <w:lang w:val="en-US"/>
        </w:rPr>
        <w:t>Based on the data in Table 1, it can be concluded that for the period 2016-2017, the foreign trade turnover of goods of the Republic of Belarus had a pronounced positive trend. In 2018, this indicator amounted to 72.3 billion</w:t>
      </w:r>
      <w:r w:rsidR="00A95594">
        <w:rPr>
          <w:sz w:val="28"/>
          <w:szCs w:val="28"/>
          <w:lang w:val="en-US"/>
        </w:rPr>
        <w:t xml:space="preserve"> </w:t>
      </w:r>
      <w:r w:rsidR="00A95594" w:rsidRPr="00005F5F">
        <w:rPr>
          <w:sz w:val="28"/>
          <w:szCs w:val="28"/>
          <w:lang w:val="en-US"/>
        </w:rPr>
        <w:t>US dollars</w:t>
      </w:r>
      <w:r w:rsidRPr="00005F5F">
        <w:rPr>
          <w:sz w:val="28"/>
          <w:szCs w:val="28"/>
          <w:lang w:val="en-US"/>
        </w:rPr>
        <w:t>, which is 14.0% more than in 2017, but the growth rate is already declining. Exports in 2018 increased by 16.0% and amounted to 33.9 billion</w:t>
      </w:r>
      <w:r w:rsidR="00A95594">
        <w:rPr>
          <w:sz w:val="28"/>
          <w:szCs w:val="28"/>
          <w:lang w:val="en-US"/>
        </w:rPr>
        <w:t xml:space="preserve"> </w:t>
      </w:r>
      <w:r w:rsidR="00A95594" w:rsidRPr="00005F5F">
        <w:rPr>
          <w:sz w:val="28"/>
          <w:szCs w:val="28"/>
          <w:lang w:val="en-US"/>
        </w:rPr>
        <w:t>US dollars</w:t>
      </w:r>
      <w:r w:rsidRPr="00005F5F">
        <w:rPr>
          <w:sz w:val="28"/>
          <w:szCs w:val="28"/>
          <w:lang w:val="en-US"/>
        </w:rPr>
        <w:t>. Imports during this period increased by 12.3% and reached 38.4 billion</w:t>
      </w:r>
      <w:r w:rsidR="00A95594">
        <w:rPr>
          <w:sz w:val="28"/>
          <w:szCs w:val="28"/>
          <w:lang w:val="en-US"/>
        </w:rPr>
        <w:t xml:space="preserve"> </w:t>
      </w:r>
      <w:r w:rsidR="00A95594" w:rsidRPr="00005F5F">
        <w:rPr>
          <w:sz w:val="28"/>
          <w:szCs w:val="28"/>
          <w:lang w:val="en-US"/>
        </w:rPr>
        <w:t>US dollars</w:t>
      </w:r>
      <w:r w:rsidRPr="00005F5F">
        <w:rPr>
          <w:sz w:val="28"/>
          <w:szCs w:val="28"/>
          <w:lang w:val="en-US"/>
        </w:rPr>
        <w:t>.</w:t>
      </w:r>
    </w:p>
    <w:p w14:paraId="36E1ABB9" w14:textId="5210B7E6" w:rsidR="00005F5F" w:rsidRPr="00005F5F" w:rsidRDefault="00005F5F" w:rsidP="003755D5">
      <w:pPr>
        <w:spacing w:line="360" w:lineRule="auto"/>
        <w:ind w:firstLine="709"/>
        <w:jc w:val="both"/>
        <w:rPr>
          <w:sz w:val="28"/>
          <w:szCs w:val="28"/>
          <w:lang w:val="en-US"/>
        </w:rPr>
      </w:pPr>
      <w:r w:rsidRPr="00005F5F">
        <w:rPr>
          <w:sz w:val="28"/>
          <w:szCs w:val="28"/>
          <w:lang w:val="en-US"/>
        </w:rPr>
        <w:t>In 2018, the foreign trade balance showed a downward trend in the deficit, but at the same time, it still has a negative value of (-)4.5 billion</w:t>
      </w:r>
      <w:r w:rsidR="00A95594">
        <w:rPr>
          <w:sz w:val="28"/>
          <w:szCs w:val="28"/>
          <w:lang w:val="en-US"/>
        </w:rPr>
        <w:t xml:space="preserve"> </w:t>
      </w:r>
      <w:r w:rsidR="00A95594" w:rsidRPr="00005F5F">
        <w:rPr>
          <w:sz w:val="28"/>
          <w:szCs w:val="28"/>
          <w:lang w:val="en-US"/>
        </w:rPr>
        <w:t>US dollars</w:t>
      </w:r>
      <w:r w:rsidRPr="00005F5F">
        <w:rPr>
          <w:sz w:val="28"/>
          <w:szCs w:val="28"/>
          <w:lang w:val="en-US"/>
        </w:rPr>
        <w:t>.</w:t>
      </w:r>
    </w:p>
    <w:p w14:paraId="0A85BBB7" w14:textId="75D7136F" w:rsidR="00005F5F" w:rsidRPr="00005F5F" w:rsidRDefault="00005F5F" w:rsidP="003755D5">
      <w:pPr>
        <w:spacing w:line="360" w:lineRule="auto"/>
        <w:ind w:firstLine="709"/>
        <w:jc w:val="both"/>
        <w:rPr>
          <w:sz w:val="28"/>
          <w:szCs w:val="28"/>
          <w:lang w:val="en-US"/>
        </w:rPr>
      </w:pPr>
      <w:r w:rsidRPr="00005F5F">
        <w:rPr>
          <w:sz w:val="28"/>
          <w:szCs w:val="28"/>
          <w:lang w:val="en-US"/>
        </w:rPr>
        <w:t>In 2019, the value of the foreign trade turnover of the Republic of Belarus amounted to 72.4 billion</w:t>
      </w:r>
      <w:r w:rsidR="00A95594">
        <w:rPr>
          <w:sz w:val="28"/>
          <w:szCs w:val="28"/>
          <w:lang w:val="en-US"/>
        </w:rPr>
        <w:t xml:space="preserve"> </w:t>
      </w:r>
      <w:r w:rsidR="00A95594" w:rsidRPr="00005F5F">
        <w:rPr>
          <w:sz w:val="28"/>
          <w:szCs w:val="28"/>
          <w:lang w:val="en-US"/>
        </w:rPr>
        <w:t>US dollars</w:t>
      </w:r>
      <w:r w:rsidRPr="00005F5F">
        <w:rPr>
          <w:sz w:val="28"/>
          <w:szCs w:val="28"/>
          <w:lang w:val="en-US"/>
        </w:rPr>
        <w:t>, an increase of only 0.1% compared to the same period in 2018, including exports reached 32.9 billion</w:t>
      </w:r>
      <w:r w:rsidR="00A95594">
        <w:rPr>
          <w:sz w:val="28"/>
          <w:szCs w:val="28"/>
          <w:lang w:val="en-US"/>
        </w:rPr>
        <w:t xml:space="preserve"> </w:t>
      </w:r>
      <w:r w:rsidR="00A95594" w:rsidRPr="00005F5F">
        <w:rPr>
          <w:sz w:val="28"/>
          <w:szCs w:val="28"/>
          <w:lang w:val="en-US"/>
        </w:rPr>
        <w:t>US dollars</w:t>
      </w:r>
      <w:r w:rsidRPr="00005F5F">
        <w:rPr>
          <w:sz w:val="28"/>
          <w:szCs w:val="28"/>
          <w:lang w:val="en-US"/>
        </w:rPr>
        <w:t>, which is 2, 8% less than in the previous year. This negative trend was due to 9.7% reduction in the supply of energy products. At the same time, the export of non-energy goods increased by 0.5%. [3]. Imports increased by 2.7% and reached 39.4 billion</w:t>
      </w:r>
      <w:r w:rsidR="00A95594">
        <w:rPr>
          <w:sz w:val="28"/>
          <w:szCs w:val="28"/>
          <w:lang w:val="en-US"/>
        </w:rPr>
        <w:t xml:space="preserve"> </w:t>
      </w:r>
      <w:r w:rsidR="00A95594" w:rsidRPr="00005F5F">
        <w:rPr>
          <w:sz w:val="28"/>
          <w:szCs w:val="28"/>
          <w:lang w:val="en-US"/>
        </w:rPr>
        <w:t>US dollars</w:t>
      </w:r>
      <w:r w:rsidRPr="00005F5F">
        <w:rPr>
          <w:sz w:val="28"/>
          <w:szCs w:val="28"/>
          <w:lang w:val="en-US"/>
        </w:rPr>
        <w:t>.</w:t>
      </w:r>
    </w:p>
    <w:p w14:paraId="15F49D14" w14:textId="57117F43" w:rsidR="00005F5F" w:rsidRDefault="00005F5F" w:rsidP="003755D5">
      <w:pPr>
        <w:spacing w:line="360" w:lineRule="auto"/>
        <w:ind w:firstLine="709"/>
        <w:jc w:val="both"/>
        <w:rPr>
          <w:sz w:val="28"/>
          <w:szCs w:val="28"/>
          <w:lang w:val="en-US"/>
        </w:rPr>
      </w:pPr>
      <w:r w:rsidRPr="00005F5F">
        <w:rPr>
          <w:sz w:val="28"/>
          <w:szCs w:val="28"/>
          <w:lang w:val="en-US"/>
        </w:rPr>
        <w:t>The balance of foreign trade in goods of the Republic of Belarus in 2019 showed negative dynamics in comparison with previous similar periods and amounted to (-) 6.5 billion US dollars.</w:t>
      </w:r>
    </w:p>
    <w:p w14:paraId="1FFE27C6" w14:textId="59E77532" w:rsidR="00A95594" w:rsidRPr="00A95594" w:rsidRDefault="00A95594" w:rsidP="003755D5">
      <w:pPr>
        <w:spacing w:line="360" w:lineRule="auto"/>
        <w:ind w:firstLine="709"/>
        <w:jc w:val="both"/>
        <w:rPr>
          <w:sz w:val="28"/>
          <w:szCs w:val="28"/>
          <w:lang w:val="en-US"/>
        </w:rPr>
      </w:pPr>
      <w:r w:rsidRPr="00A95594">
        <w:rPr>
          <w:sz w:val="28"/>
          <w:szCs w:val="28"/>
          <w:lang w:val="en-US"/>
        </w:rPr>
        <w:t>The foreign trade deficit of the Republic of Belarus is formed primarily from trade with the EAEU member countries. At the end of 2019, the negative balance with this group of partners amounted to 12% of GDP [4]. In foreign trade turnover with third countries, the Republic of Belarus has mainly a positive trade balance. However, over the period of 2019, the balance significantly decreased (by 3.1 billion</w:t>
      </w:r>
      <w:r>
        <w:rPr>
          <w:sz w:val="28"/>
          <w:szCs w:val="28"/>
          <w:lang w:val="en-US"/>
        </w:rPr>
        <w:t xml:space="preserve"> </w:t>
      </w:r>
      <w:r w:rsidRPr="00005F5F">
        <w:rPr>
          <w:sz w:val="28"/>
          <w:szCs w:val="28"/>
          <w:lang w:val="en-US"/>
        </w:rPr>
        <w:lastRenderedPageBreak/>
        <w:t>US dollars</w:t>
      </w:r>
      <w:r w:rsidRPr="00A95594">
        <w:rPr>
          <w:sz w:val="28"/>
          <w:szCs w:val="28"/>
          <w:lang w:val="en-US"/>
        </w:rPr>
        <w:t>) and amounted to 1.2 billion</w:t>
      </w:r>
      <w:r>
        <w:rPr>
          <w:sz w:val="28"/>
          <w:szCs w:val="28"/>
          <w:lang w:val="en-US"/>
        </w:rPr>
        <w:t xml:space="preserve"> </w:t>
      </w:r>
      <w:r w:rsidRPr="00005F5F">
        <w:rPr>
          <w:sz w:val="28"/>
          <w:szCs w:val="28"/>
          <w:lang w:val="en-US"/>
        </w:rPr>
        <w:t>US dollars</w:t>
      </w:r>
      <w:r w:rsidRPr="00A95594">
        <w:rPr>
          <w:sz w:val="28"/>
          <w:szCs w:val="28"/>
          <w:lang w:val="en-US"/>
        </w:rPr>
        <w:t xml:space="preserve"> (1.9% of GDP versus 7% of GDP in 2018) [4].</w:t>
      </w:r>
    </w:p>
    <w:p w14:paraId="7448914C" w14:textId="77777777" w:rsidR="00A95594" w:rsidRPr="00A95594" w:rsidRDefault="00A95594" w:rsidP="003755D5">
      <w:pPr>
        <w:spacing w:line="360" w:lineRule="auto"/>
        <w:ind w:firstLine="709"/>
        <w:jc w:val="both"/>
        <w:rPr>
          <w:sz w:val="28"/>
          <w:szCs w:val="28"/>
          <w:lang w:val="en-US"/>
        </w:rPr>
      </w:pPr>
      <w:r w:rsidRPr="00A95594">
        <w:rPr>
          <w:sz w:val="28"/>
          <w:szCs w:val="28"/>
          <w:lang w:val="en-US"/>
        </w:rPr>
        <w:t>The main trade partners of the Republic of Belarus among non-CIS countries are China and the EU states: Germany, Poland, Great Britain, Lithuania, the Netherlands.</w:t>
      </w:r>
    </w:p>
    <w:p w14:paraId="1EFAFD8F" w14:textId="46C5DACB" w:rsidR="00A95594" w:rsidRPr="00A95594" w:rsidRDefault="00A95594" w:rsidP="003755D5">
      <w:pPr>
        <w:spacing w:line="360" w:lineRule="auto"/>
        <w:ind w:firstLine="709"/>
        <w:jc w:val="both"/>
        <w:rPr>
          <w:sz w:val="28"/>
          <w:szCs w:val="28"/>
          <w:lang w:val="en-US"/>
        </w:rPr>
      </w:pPr>
      <w:r w:rsidRPr="00A95594">
        <w:rPr>
          <w:sz w:val="28"/>
          <w:szCs w:val="28"/>
          <w:lang w:val="en-US"/>
        </w:rPr>
        <w:t>Belarus' imports from non-CIS countries in 2019 amounted to 17.2 billion</w:t>
      </w:r>
      <w:r>
        <w:rPr>
          <w:sz w:val="28"/>
          <w:szCs w:val="28"/>
          <w:lang w:val="en-US"/>
        </w:rPr>
        <w:t xml:space="preserve"> </w:t>
      </w:r>
      <w:r w:rsidRPr="00005F5F">
        <w:rPr>
          <w:sz w:val="28"/>
          <w:szCs w:val="28"/>
          <w:lang w:val="en-US"/>
        </w:rPr>
        <w:t>US dollars</w:t>
      </w:r>
      <w:r w:rsidRPr="00A95594">
        <w:rPr>
          <w:sz w:val="28"/>
          <w:szCs w:val="28"/>
          <w:lang w:val="en-US"/>
        </w:rPr>
        <w:t>, having decreased by 9.7% compared to the previous year [4].</w:t>
      </w:r>
    </w:p>
    <w:p w14:paraId="554C0395" w14:textId="537C13AE" w:rsidR="00A95594" w:rsidRDefault="00A95594" w:rsidP="003755D5">
      <w:pPr>
        <w:spacing w:line="360" w:lineRule="auto"/>
        <w:ind w:firstLine="709"/>
        <w:jc w:val="both"/>
        <w:rPr>
          <w:sz w:val="28"/>
          <w:szCs w:val="28"/>
          <w:lang w:val="en-US"/>
        </w:rPr>
      </w:pPr>
      <w:r w:rsidRPr="00A95594">
        <w:rPr>
          <w:sz w:val="28"/>
          <w:szCs w:val="28"/>
          <w:lang w:val="en-US"/>
        </w:rPr>
        <w:t>The countries with which the largest negative balance of foreign trade in goods of the Republic of Belarus was formed in 2019 are presented in Table 2.</w:t>
      </w:r>
    </w:p>
    <w:p w14:paraId="199CC4FA" w14:textId="77777777" w:rsidR="006D3C5F" w:rsidRDefault="006D3C5F" w:rsidP="003755D5">
      <w:pPr>
        <w:jc w:val="both"/>
        <w:rPr>
          <w:sz w:val="28"/>
          <w:szCs w:val="28"/>
          <w:lang w:val="en-US"/>
        </w:rPr>
      </w:pPr>
    </w:p>
    <w:p w14:paraId="7BBEA5EF" w14:textId="2D89AD7C" w:rsidR="00E41CD7" w:rsidRPr="006D3C5F" w:rsidRDefault="006D3C5F" w:rsidP="00E41CD7">
      <w:pPr>
        <w:spacing w:line="360" w:lineRule="auto"/>
        <w:ind w:hanging="10"/>
        <w:jc w:val="both"/>
        <w:rPr>
          <w:color w:val="000000"/>
          <w:sz w:val="20"/>
          <w:szCs w:val="22"/>
          <w:lang w:val="en-US"/>
        </w:rPr>
      </w:pPr>
      <w:r w:rsidRPr="006D3C5F">
        <w:rPr>
          <w:b/>
          <w:color w:val="000000"/>
          <w:lang w:val="en-US"/>
        </w:rPr>
        <w:t>Table 2 - Leading countries in the formation of a negative balance of foreign trade in goods of the Republic of Belarus for 2019, USD million</w:t>
      </w:r>
    </w:p>
    <w:tbl>
      <w:tblPr>
        <w:tblW w:w="9645" w:type="dxa"/>
        <w:tblInd w:w="-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6" w:type="dxa"/>
          <w:right w:w="58" w:type="dxa"/>
        </w:tblCellMar>
        <w:tblLook w:val="04A0" w:firstRow="1" w:lastRow="0" w:firstColumn="1" w:lastColumn="0" w:noHBand="0" w:noVBand="1"/>
      </w:tblPr>
      <w:tblGrid>
        <w:gridCol w:w="1238"/>
        <w:gridCol w:w="922"/>
        <w:gridCol w:w="870"/>
        <w:gridCol w:w="854"/>
        <w:gridCol w:w="883"/>
        <w:gridCol w:w="1067"/>
        <w:gridCol w:w="850"/>
        <w:gridCol w:w="963"/>
        <w:gridCol w:w="1039"/>
        <w:gridCol w:w="959"/>
      </w:tblGrid>
      <w:tr w:rsidR="00E41CD7" w:rsidRPr="001243BC" w14:paraId="1369F777" w14:textId="77777777" w:rsidTr="006D3C5F">
        <w:trPr>
          <w:trHeight w:val="1155"/>
        </w:trPr>
        <w:tc>
          <w:tcPr>
            <w:tcW w:w="1238" w:type="dxa"/>
            <w:shd w:val="clear" w:color="auto" w:fill="auto"/>
            <w:vAlign w:val="center"/>
          </w:tcPr>
          <w:p w14:paraId="5BF0AD0C" w14:textId="57500982" w:rsidR="00E41CD7" w:rsidRPr="004D4D3E" w:rsidRDefault="004D4D3E" w:rsidP="00D01E34">
            <w:pPr>
              <w:spacing w:line="276" w:lineRule="auto"/>
              <w:ind w:left="16"/>
              <w:jc w:val="center"/>
              <w:rPr>
                <w:b/>
                <w:color w:val="000000"/>
                <w:sz w:val="20"/>
                <w:szCs w:val="22"/>
                <w:lang w:val="en-US"/>
              </w:rPr>
            </w:pPr>
            <w:r>
              <w:rPr>
                <w:b/>
                <w:color w:val="000000"/>
                <w:sz w:val="20"/>
                <w:szCs w:val="22"/>
                <w:lang w:val="en-US"/>
              </w:rPr>
              <w:t>Index</w:t>
            </w:r>
          </w:p>
        </w:tc>
        <w:tc>
          <w:tcPr>
            <w:tcW w:w="922" w:type="dxa"/>
            <w:shd w:val="clear" w:color="auto" w:fill="auto"/>
            <w:vAlign w:val="center"/>
          </w:tcPr>
          <w:p w14:paraId="3B2B7C80" w14:textId="2E14C8B0" w:rsidR="00E41CD7" w:rsidRPr="006D3C5F" w:rsidRDefault="006D3C5F" w:rsidP="00D01E34">
            <w:pPr>
              <w:spacing w:line="276" w:lineRule="auto"/>
              <w:ind w:left="2"/>
              <w:jc w:val="center"/>
              <w:rPr>
                <w:b/>
                <w:color w:val="000000"/>
                <w:sz w:val="20"/>
                <w:szCs w:val="22"/>
                <w:lang w:val="en-US"/>
              </w:rPr>
            </w:pPr>
            <w:r>
              <w:rPr>
                <w:b/>
                <w:color w:val="000000"/>
                <w:sz w:val="20"/>
                <w:szCs w:val="22"/>
                <w:lang w:val="en-US"/>
              </w:rPr>
              <w:t>Russia</w:t>
            </w:r>
          </w:p>
        </w:tc>
        <w:tc>
          <w:tcPr>
            <w:tcW w:w="870" w:type="dxa"/>
            <w:shd w:val="clear" w:color="auto" w:fill="auto"/>
            <w:vAlign w:val="center"/>
          </w:tcPr>
          <w:p w14:paraId="0E541DDC" w14:textId="7980BEFE" w:rsidR="00E41CD7" w:rsidRPr="006D3C5F" w:rsidRDefault="006D3C5F" w:rsidP="00D01E34">
            <w:pPr>
              <w:spacing w:line="276" w:lineRule="auto"/>
              <w:ind w:left="2"/>
              <w:jc w:val="center"/>
              <w:rPr>
                <w:b/>
                <w:color w:val="000000"/>
                <w:sz w:val="20"/>
                <w:szCs w:val="22"/>
                <w:lang w:val="en-US"/>
              </w:rPr>
            </w:pPr>
            <w:r>
              <w:rPr>
                <w:b/>
                <w:color w:val="000000"/>
                <w:sz w:val="20"/>
                <w:szCs w:val="22"/>
                <w:lang w:val="en-US"/>
              </w:rPr>
              <w:t>China</w:t>
            </w:r>
          </w:p>
        </w:tc>
        <w:tc>
          <w:tcPr>
            <w:tcW w:w="854" w:type="dxa"/>
            <w:shd w:val="clear" w:color="auto" w:fill="auto"/>
            <w:vAlign w:val="center"/>
          </w:tcPr>
          <w:p w14:paraId="4C0A2EDA" w14:textId="16F7D987" w:rsidR="00E41CD7" w:rsidRPr="006D3C5F" w:rsidRDefault="006D3C5F" w:rsidP="00D01E34">
            <w:pPr>
              <w:spacing w:line="276" w:lineRule="auto"/>
              <w:jc w:val="center"/>
              <w:rPr>
                <w:b/>
                <w:color w:val="000000"/>
                <w:sz w:val="20"/>
                <w:szCs w:val="22"/>
                <w:lang w:val="en-US"/>
              </w:rPr>
            </w:pPr>
            <w:r>
              <w:rPr>
                <w:b/>
                <w:color w:val="000000"/>
                <w:sz w:val="20"/>
                <w:szCs w:val="22"/>
                <w:lang w:val="en-US"/>
              </w:rPr>
              <w:t>Italy</w:t>
            </w:r>
          </w:p>
        </w:tc>
        <w:tc>
          <w:tcPr>
            <w:tcW w:w="883" w:type="dxa"/>
            <w:shd w:val="clear" w:color="auto" w:fill="auto"/>
            <w:vAlign w:val="center"/>
          </w:tcPr>
          <w:p w14:paraId="3DB4484C" w14:textId="19637647" w:rsidR="00E41CD7" w:rsidRPr="006D3C5F" w:rsidRDefault="006D3C5F" w:rsidP="00D01E34">
            <w:pPr>
              <w:spacing w:line="276" w:lineRule="auto"/>
              <w:ind w:left="2"/>
              <w:jc w:val="center"/>
              <w:rPr>
                <w:b/>
                <w:color w:val="000000"/>
                <w:sz w:val="20"/>
                <w:szCs w:val="22"/>
                <w:lang w:val="en-US"/>
              </w:rPr>
            </w:pPr>
            <w:r>
              <w:rPr>
                <w:b/>
                <w:color w:val="000000"/>
                <w:sz w:val="20"/>
                <w:szCs w:val="22"/>
                <w:lang w:val="en-US"/>
              </w:rPr>
              <w:t>Turkey</w:t>
            </w:r>
          </w:p>
        </w:tc>
        <w:tc>
          <w:tcPr>
            <w:tcW w:w="1067" w:type="dxa"/>
            <w:shd w:val="clear" w:color="auto" w:fill="auto"/>
            <w:vAlign w:val="center"/>
          </w:tcPr>
          <w:p w14:paraId="4846630D" w14:textId="4ED7EF09" w:rsidR="00E41CD7" w:rsidRPr="006D3C5F" w:rsidRDefault="006D3C5F" w:rsidP="00D01E34">
            <w:pPr>
              <w:spacing w:line="276" w:lineRule="auto"/>
              <w:jc w:val="center"/>
              <w:rPr>
                <w:b/>
                <w:color w:val="000000"/>
                <w:sz w:val="20"/>
                <w:szCs w:val="22"/>
                <w:lang w:val="en-US"/>
              </w:rPr>
            </w:pPr>
            <w:r>
              <w:rPr>
                <w:b/>
                <w:color w:val="000000"/>
                <w:sz w:val="20"/>
                <w:szCs w:val="22"/>
                <w:lang w:val="en-US"/>
              </w:rPr>
              <w:t>Germany</w:t>
            </w:r>
          </w:p>
        </w:tc>
        <w:tc>
          <w:tcPr>
            <w:tcW w:w="850" w:type="dxa"/>
            <w:vAlign w:val="center"/>
          </w:tcPr>
          <w:p w14:paraId="4F52C296" w14:textId="2855670F" w:rsidR="00E41CD7" w:rsidRPr="006D3C5F" w:rsidRDefault="006D3C5F" w:rsidP="006D3C5F">
            <w:pPr>
              <w:spacing w:line="276" w:lineRule="auto"/>
              <w:rPr>
                <w:b/>
                <w:color w:val="000000"/>
                <w:sz w:val="20"/>
                <w:szCs w:val="22"/>
                <w:lang w:val="en-US"/>
              </w:rPr>
            </w:pPr>
            <w:r>
              <w:rPr>
                <w:b/>
                <w:color w:val="000000"/>
                <w:sz w:val="20"/>
                <w:szCs w:val="22"/>
                <w:lang w:val="en-US"/>
              </w:rPr>
              <w:t>USA</w:t>
            </w:r>
          </w:p>
        </w:tc>
        <w:tc>
          <w:tcPr>
            <w:tcW w:w="963" w:type="dxa"/>
            <w:shd w:val="clear" w:color="auto" w:fill="auto"/>
            <w:vAlign w:val="center"/>
          </w:tcPr>
          <w:p w14:paraId="34FFDEAB" w14:textId="321FB9B2" w:rsidR="00E41CD7" w:rsidRPr="006D3C5F" w:rsidRDefault="006D3C5F" w:rsidP="00D01E34">
            <w:pPr>
              <w:spacing w:line="276" w:lineRule="auto"/>
              <w:jc w:val="center"/>
              <w:rPr>
                <w:b/>
                <w:color w:val="000000"/>
                <w:sz w:val="20"/>
                <w:szCs w:val="22"/>
                <w:lang w:val="en-US"/>
              </w:rPr>
            </w:pPr>
            <w:r>
              <w:rPr>
                <w:b/>
                <w:color w:val="000000"/>
                <w:sz w:val="20"/>
                <w:szCs w:val="22"/>
                <w:lang w:val="en-US"/>
              </w:rPr>
              <w:t>Spain</w:t>
            </w:r>
          </w:p>
        </w:tc>
        <w:tc>
          <w:tcPr>
            <w:tcW w:w="1039" w:type="dxa"/>
            <w:shd w:val="clear" w:color="auto" w:fill="auto"/>
            <w:vAlign w:val="center"/>
          </w:tcPr>
          <w:p w14:paraId="570E085B" w14:textId="775AFB0A" w:rsidR="00E41CD7" w:rsidRPr="006D3C5F" w:rsidRDefault="006D3C5F" w:rsidP="00D01E34">
            <w:pPr>
              <w:spacing w:line="276" w:lineRule="auto"/>
              <w:ind w:left="2"/>
              <w:jc w:val="center"/>
              <w:rPr>
                <w:b/>
                <w:color w:val="000000"/>
                <w:sz w:val="20"/>
                <w:szCs w:val="22"/>
              </w:rPr>
            </w:pPr>
            <w:r>
              <w:rPr>
                <w:b/>
                <w:color w:val="000000"/>
                <w:sz w:val="20"/>
                <w:szCs w:val="22"/>
                <w:lang w:val="en-US"/>
              </w:rPr>
              <w:t>France</w:t>
            </w:r>
          </w:p>
        </w:tc>
        <w:tc>
          <w:tcPr>
            <w:tcW w:w="959" w:type="dxa"/>
            <w:shd w:val="clear" w:color="auto" w:fill="auto"/>
            <w:vAlign w:val="center"/>
          </w:tcPr>
          <w:p w14:paraId="50637AC7" w14:textId="02796EC1" w:rsidR="00E41CD7" w:rsidRPr="004D4D3E" w:rsidRDefault="004D4D3E" w:rsidP="00D01E34">
            <w:pPr>
              <w:spacing w:line="276" w:lineRule="auto"/>
              <w:jc w:val="center"/>
              <w:rPr>
                <w:b/>
                <w:color w:val="000000"/>
                <w:sz w:val="20"/>
                <w:szCs w:val="22"/>
              </w:rPr>
            </w:pPr>
            <w:r>
              <w:rPr>
                <w:b/>
                <w:color w:val="000000"/>
                <w:sz w:val="20"/>
                <w:szCs w:val="22"/>
                <w:lang w:val="en-US"/>
              </w:rPr>
              <w:t>Czech Republic</w:t>
            </w:r>
          </w:p>
        </w:tc>
      </w:tr>
      <w:tr w:rsidR="00E41CD7" w:rsidRPr="001243BC" w14:paraId="788CEF55" w14:textId="77777777" w:rsidTr="006D3C5F">
        <w:trPr>
          <w:trHeight w:val="1106"/>
        </w:trPr>
        <w:tc>
          <w:tcPr>
            <w:tcW w:w="1238" w:type="dxa"/>
            <w:shd w:val="clear" w:color="auto" w:fill="auto"/>
            <w:vAlign w:val="center"/>
          </w:tcPr>
          <w:p w14:paraId="63475B88" w14:textId="77777777" w:rsidR="00E41CD7" w:rsidRPr="001243BC" w:rsidRDefault="00E41CD7" w:rsidP="00D01E34">
            <w:pPr>
              <w:spacing w:line="276" w:lineRule="auto"/>
              <w:jc w:val="center"/>
              <w:rPr>
                <w:b/>
                <w:color w:val="000000"/>
                <w:sz w:val="20"/>
                <w:szCs w:val="22"/>
              </w:rPr>
            </w:pPr>
            <w:r>
              <w:rPr>
                <w:b/>
                <w:color w:val="000000"/>
                <w:sz w:val="20"/>
                <w:szCs w:val="22"/>
                <w:lang w:val="en-US"/>
              </w:rPr>
              <w:t>E</w:t>
            </w:r>
            <w:r w:rsidRPr="001243BC">
              <w:rPr>
                <w:b/>
                <w:color w:val="000000"/>
                <w:sz w:val="20"/>
                <w:szCs w:val="22"/>
              </w:rPr>
              <w:t>xport</w:t>
            </w:r>
          </w:p>
        </w:tc>
        <w:tc>
          <w:tcPr>
            <w:tcW w:w="922" w:type="dxa"/>
            <w:shd w:val="clear" w:color="auto" w:fill="auto"/>
            <w:vAlign w:val="center"/>
          </w:tcPr>
          <w:p w14:paraId="438F5F4D" w14:textId="77777777" w:rsidR="00E41CD7" w:rsidRPr="001243BC" w:rsidRDefault="00E41CD7" w:rsidP="00D01E34">
            <w:pPr>
              <w:spacing w:line="276" w:lineRule="auto"/>
              <w:ind w:left="2"/>
              <w:jc w:val="center"/>
              <w:rPr>
                <w:color w:val="000000"/>
                <w:sz w:val="20"/>
                <w:szCs w:val="22"/>
              </w:rPr>
            </w:pPr>
            <w:r w:rsidRPr="001243BC">
              <w:rPr>
                <w:color w:val="000000"/>
                <w:sz w:val="20"/>
                <w:szCs w:val="22"/>
              </w:rPr>
              <w:t>13685,8</w:t>
            </w:r>
          </w:p>
        </w:tc>
        <w:tc>
          <w:tcPr>
            <w:tcW w:w="870" w:type="dxa"/>
            <w:shd w:val="clear" w:color="auto" w:fill="auto"/>
            <w:vAlign w:val="center"/>
          </w:tcPr>
          <w:p w14:paraId="6E47E037" w14:textId="77777777" w:rsidR="00E41CD7" w:rsidRPr="001243BC" w:rsidRDefault="00E41CD7" w:rsidP="00D01E34">
            <w:pPr>
              <w:spacing w:line="276" w:lineRule="auto"/>
              <w:jc w:val="center"/>
              <w:rPr>
                <w:color w:val="000000"/>
                <w:sz w:val="20"/>
                <w:szCs w:val="22"/>
              </w:rPr>
            </w:pPr>
            <w:r w:rsidRPr="001243BC">
              <w:rPr>
                <w:color w:val="000000"/>
                <w:sz w:val="20"/>
                <w:szCs w:val="22"/>
              </w:rPr>
              <w:t>673,3</w:t>
            </w:r>
          </w:p>
        </w:tc>
        <w:tc>
          <w:tcPr>
            <w:tcW w:w="854" w:type="dxa"/>
            <w:shd w:val="clear" w:color="auto" w:fill="auto"/>
            <w:vAlign w:val="center"/>
          </w:tcPr>
          <w:p w14:paraId="5671969D" w14:textId="77777777" w:rsidR="00E41CD7" w:rsidRPr="001243BC" w:rsidRDefault="00E41CD7" w:rsidP="00D01E34">
            <w:pPr>
              <w:spacing w:line="276" w:lineRule="auto"/>
              <w:jc w:val="center"/>
              <w:rPr>
                <w:color w:val="000000"/>
                <w:sz w:val="20"/>
                <w:szCs w:val="22"/>
              </w:rPr>
            </w:pPr>
            <w:r w:rsidRPr="001243BC">
              <w:rPr>
                <w:color w:val="000000"/>
                <w:sz w:val="20"/>
                <w:szCs w:val="22"/>
              </w:rPr>
              <w:t>97,9</w:t>
            </w:r>
          </w:p>
        </w:tc>
        <w:tc>
          <w:tcPr>
            <w:tcW w:w="883" w:type="dxa"/>
            <w:shd w:val="clear" w:color="auto" w:fill="auto"/>
            <w:vAlign w:val="center"/>
          </w:tcPr>
          <w:p w14:paraId="5EABEFF5" w14:textId="77777777" w:rsidR="00E41CD7" w:rsidRPr="001243BC" w:rsidRDefault="00E41CD7" w:rsidP="00D01E34">
            <w:pPr>
              <w:spacing w:line="276" w:lineRule="auto"/>
              <w:ind w:right="1"/>
              <w:jc w:val="center"/>
              <w:rPr>
                <w:color w:val="000000"/>
                <w:sz w:val="20"/>
                <w:szCs w:val="22"/>
              </w:rPr>
            </w:pPr>
            <w:r w:rsidRPr="001243BC">
              <w:rPr>
                <w:color w:val="000000"/>
                <w:sz w:val="20"/>
                <w:szCs w:val="22"/>
              </w:rPr>
              <w:t>140,8</w:t>
            </w:r>
          </w:p>
        </w:tc>
        <w:tc>
          <w:tcPr>
            <w:tcW w:w="1067" w:type="dxa"/>
            <w:shd w:val="clear" w:color="auto" w:fill="auto"/>
            <w:vAlign w:val="center"/>
          </w:tcPr>
          <w:p w14:paraId="05216B91" w14:textId="77777777" w:rsidR="00E41CD7" w:rsidRPr="001243BC" w:rsidRDefault="00E41CD7" w:rsidP="00D01E34">
            <w:pPr>
              <w:spacing w:line="276" w:lineRule="auto"/>
              <w:ind w:right="2"/>
              <w:jc w:val="center"/>
              <w:rPr>
                <w:color w:val="000000"/>
                <w:sz w:val="20"/>
                <w:szCs w:val="22"/>
              </w:rPr>
            </w:pPr>
            <w:r w:rsidRPr="001243BC">
              <w:rPr>
                <w:color w:val="000000"/>
                <w:sz w:val="20"/>
                <w:szCs w:val="22"/>
              </w:rPr>
              <w:t>1306,8</w:t>
            </w:r>
          </w:p>
        </w:tc>
        <w:tc>
          <w:tcPr>
            <w:tcW w:w="850" w:type="dxa"/>
            <w:vAlign w:val="center"/>
          </w:tcPr>
          <w:p w14:paraId="6E2839D1" w14:textId="77777777" w:rsidR="00E41CD7" w:rsidRPr="001243BC" w:rsidRDefault="00E41CD7" w:rsidP="00D01E34">
            <w:pPr>
              <w:spacing w:line="276" w:lineRule="auto"/>
              <w:ind w:right="1"/>
              <w:jc w:val="center"/>
              <w:rPr>
                <w:color w:val="000000"/>
                <w:sz w:val="20"/>
                <w:szCs w:val="22"/>
              </w:rPr>
            </w:pPr>
            <w:r w:rsidRPr="001243BC">
              <w:rPr>
                <w:color w:val="000000"/>
                <w:sz w:val="20"/>
                <w:szCs w:val="22"/>
              </w:rPr>
              <w:t>192,5</w:t>
            </w:r>
          </w:p>
        </w:tc>
        <w:tc>
          <w:tcPr>
            <w:tcW w:w="963" w:type="dxa"/>
            <w:shd w:val="clear" w:color="auto" w:fill="auto"/>
            <w:vAlign w:val="center"/>
          </w:tcPr>
          <w:p w14:paraId="183F0435" w14:textId="77777777" w:rsidR="00E41CD7" w:rsidRPr="001243BC" w:rsidRDefault="00E41CD7" w:rsidP="00D01E34">
            <w:pPr>
              <w:spacing w:line="276" w:lineRule="auto"/>
              <w:ind w:right="1"/>
              <w:jc w:val="center"/>
              <w:rPr>
                <w:color w:val="000000"/>
                <w:sz w:val="20"/>
                <w:szCs w:val="22"/>
              </w:rPr>
            </w:pPr>
            <w:r w:rsidRPr="001243BC">
              <w:rPr>
                <w:color w:val="000000"/>
                <w:sz w:val="20"/>
                <w:szCs w:val="22"/>
              </w:rPr>
              <w:t>16,7</w:t>
            </w:r>
          </w:p>
        </w:tc>
        <w:tc>
          <w:tcPr>
            <w:tcW w:w="1039" w:type="dxa"/>
            <w:shd w:val="clear" w:color="auto" w:fill="auto"/>
            <w:vAlign w:val="center"/>
          </w:tcPr>
          <w:p w14:paraId="449133B4" w14:textId="77777777" w:rsidR="00E41CD7" w:rsidRPr="001243BC" w:rsidRDefault="00E41CD7" w:rsidP="00D01E34">
            <w:pPr>
              <w:spacing w:line="276" w:lineRule="auto"/>
              <w:ind w:right="1"/>
              <w:jc w:val="center"/>
              <w:rPr>
                <w:color w:val="000000"/>
                <w:sz w:val="20"/>
                <w:szCs w:val="22"/>
              </w:rPr>
            </w:pPr>
            <w:r w:rsidRPr="001243BC">
              <w:rPr>
                <w:color w:val="000000"/>
                <w:sz w:val="20"/>
                <w:szCs w:val="22"/>
              </w:rPr>
              <w:t>109,5</w:t>
            </w:r>
          </w:p>
        </w:tc>
        <w:tc>
          <w:tcPr>
            <w:tcW w:w="959" w:type="dxa"/>
            <w:shd w:val="clear" w:color="auto" w:fill="auto"/>
            <w:vAlign w:val="center"/>
          </w:tcPr>
          <w:p w14:paraId="1179610D" w14:textId="77777777" w:rsidR="00E41CD7" w:rsidRPr="001243BC" w:rsidRDefault="00E41CD7" w:rsidP="00D01E34">
            <w:pPr>
              <w:spacing w:line="276" w:lineRule="auto"/>
              <w:ind w:right="1"/>
              <w:jc w:val="center"/>
              <w:rPr>
                <w:color w:val="000000"/>
                <w:sz w:val="20"/>
                <w:szCs w:val="22"/>
              </w:rPr>
            </w:pPr>
            <w:r w:rsidRPr="001243BC">
              <w:rPr>
                <w:color w:val="000000"/>
                <w:sz w:val="20"/>
                <w:szCs w:val="22"/>
              </w:rPr>
              <w:t>118,1</w:t>
            </w:r>
          </w:p>
        </w:tc>
      </w:tr>
      <w:tr w:rsidR="00E41CD7" w:rsidRPr="001243BC" w14:paraId="208E488E" w14:textId="77777777" w:rsidTr="006D3C5F">
        <w:trPr>
          <w:trHeight w:val="1066"/>
        </w:trPr>
        <w:tc>
          <w:tcPr>
            <w:tcW w:w="1238" w:type="dxa"/>
            <w:shd w:val="clear" w:color="auto" w:fill="auto"/>
            <w:vAlign w:val="center"/>
          </w:tcPr>
          <w:p w14:paraId="51C6983F" w14:textId="77777777" w:rsidR="00E41CD7" w:rsidRPr="001243BC" w:rsidRDefault="00E41CD7" w:rsidP="00D01E34">
            <w:pPr>
              <w:spacing w:line="276" w:lineRule="auto"/>
              <w:jc w:val="center"/>
              <w:rPr>
                <w:b/>
                <w:color w:val="000000"/>
                <w:sz w:val="20"/>
                <w:szCs w:val="22"/>
              </w:rPr>
            </w:pPr>
            <w:r>
              <w:rPr>
                <w:b/>
                <w:color w:val="000000"/>
                <w:sz w:val="20"/>
                <w:szCs w:val="22"/>
                <w:lang w:val="en-US"/>
              </w:rPr>
              <w:t>I</w:t>
            </w:r>
            <w:r w:rsidRPr="001243BC">
              <w:rPr>
                <w:b/>
                <w:color w:val="000000"/>
                <w:sz w:val="20"/>
                <w:szCs w:val="22"/>
              </w:rPr>
              <w:t>mport</w:t>
            </w:r>
          </w:p>
        </w:tc>
        <w:tc>
          <w:tcPr>
            <w:tcW w:w="922" w:type="dxa"/>
            <w:shd w:val="clear" w:color="auto" w:fill="auto"/>
            <w:vAlign w:val="center"/>
          </w:tcPr>
          <w:p w14:paraId="4ACB9934" w14:textId="77777777" w:rsidR="00E41CD7" w:rsidRPr="001243BC" w:rsidRDefault="00E41CD7" w:rsidP="00D01E34">
            <w:pPr>
              <w:spacing w:line="276" w:lineRule="auto"/>
              <w:ind w:left="2"/>
              <w:jc w:val="center"/>
              <w:rPr>
                <w:color w:val="000000"/>
                <w:sz w:val="20"/>
                <w:szCs w:val="22"/>
              </w:rPr>
            </w:pPr>
            <w:r w:rsidRPr="001243BC">
              <w:rPr>
                <w:color w:val="000000"/>
                <w:sz w:val="20"/>
                <w:szCs w:val="22"/>
              </w:rPr>
              <w:t>22016,4</w:t>
            </w:r>
          </w:p>
        </w:tc>
        <w:tc>
          <w:tcPr>
            <w:tcW w:w="870" w:type="dxa"/>
            <w:shd w:val="clear" w:color="auto" w:fill="auto"/>
            <w:vAlign w:val="center"/>
          </w:tcPr>
          <w:p w14:paraId="7FC14471" w14:textId="77777777" w:rsidR="00E41CD7" w:rsidRPr="001243BC" w:rsidRDefault="00E41CD7" w:rsidP="00D01E34">
            <w:pPr>
              <w:spacing w:line="276" w:lineRule="auto"/>
              <w:jc w:val="center"/>
              <w:rPr>
                <w:color w:val="000000"/>
                <w:sz w:val="20"/>
                <w:szCs w:val="22"/>
              </w:rPr>
            </w:pPr>
            <w:r w:rsidRPr="001243BC">
              <w:rPr>
                <w:color w:val="000000"/>
                <w:sz w:val="20"/>
                <w:szCs w:val="22"/>
              </w:rPr>
              <w:t>3807,6</w:t>
            </w:r>
          </w:p>
        </w:tc>
        <w:tc>
          <w:tcPr>
            <w:tcW w:w="854" w:type="dxa"/>
            <w:shd w:val="clear" w:color="auto" w:fill="auto"/>
            <w:vAlign w:val="center"/>
          </w:tcPr>
          <w:p w14:paraId="346B9A1D" w14:textId="77777777" w:rsidR="00E41CD7" w:rsidRPr="001243BC" w:rsidRDefault="00E41CD7" w:rsidP="00D01E34">
            <w:pPr>
              <w:spacing w:line="276" w:lineRule="auto"/>
              <w:jc w:val="center"/>
              <w:rPr>
                <w:color w:val="000000"/>
                <w:sz w:val="20"/>
                <w:szCs w:val="22"/>
              </w:rPr>
            </w:pPr>
            <w:r w:rsidRPr="001243BC">
              <w:rPr>
                <w:color w:val="000000"/>
                <w:sz w:val="20"/>
                <w:szCs w:val="22"/>
              </w:rPr>
              <w:t>803,0</w:t>
            </w:r>
          </w:p>
        </w:tc>
        <w:tc>
          <w:tcPr>
            <w:tcW w:w="883" w:type="dxa"/>
            <w:shd w:val="clear" w:color="auto" w:fill="auto"/>
            <w:vAlign w:val="center"/>
          </w:tcPr>
          <w:p w14:paraId="1F041624" w14:textId="77777777" w:rsidR="00E41CD7" w:rsidRPr="001243BC" w:rsidRDefault="00E41CD7" w:rsidP="00D01E34">
            <w:pPr>
              <w:spacing w:line="276" w:lineRule="auto"/>
              <w:ind w:right="1"/>
              <w:jc w:val="center"/>
              <w:rPr>
                <w:color w:val="000000"/>
                <w:sz w:val="20"/>
                <w:szCs w:val="22"/>
              </w:rPr>
            </w:pPr>
            <w:r w:rsidRPr="001243BC">
              <w:rPr>
                <w:color w:val="000000"/>
                <w:sz w:val="20"/>
                <w:szCs w:val="22"/>
              </w:rPr>
              <w:t>760,4</w:t>
            </w:r>
          </w:p>
        </w:tc>
        <w:tc>
          <w:tcPr>
            <w:tcW w:w="1067" w:type="dxa"/>
            <w:shd w:val="clear" w:color="auto" w:fill="auto"/>
            <w:vAlign w:val="center"/>
          </w:tcPr>
          <w:p w14:paraId="7AD2211E" w14:textId="77777777" w:rsidR="00E41CD7" w:rsidRPr="001243BC" w:rsidRDefault="00E41CD7" w:rsidP="00D01E34">
            <w:pPr>
              <w:spacing w:line="276" w:lineRule="auto"/>
              <w:ind w:right="1"/>
              <w:jc w:val="center"/>
              <w:rPr>
                <w:color w:val="000000"/>
                <w:sz w:val="20"/>
                <w:szCs w:val="22"/>
              </w:rPr>
            </w:pPr>
            <w:r w:rsidRPr="001243BC">
              <w:rPr>
                <w:color w:val="000000"/>
                <w:sz w:val="20"/>
                <w:szCs w:val="22"/>
              </w:rPr>
              <w:t>1795,1</w:t>
            </w:r>
          </w:p>
        </w:tc>
        <w:tc>
          <w:tcPr>
            <w:tcW w:w="850" w:type="dxa"/>
            <w:vAlign w:val="center"/>
          </w:tcPr>
          <w:p w14:paraId="6A4D6505" w14:textId="77777777" w:rsidR="00E41CD7" w:rsidRPr="001243BC" w:rsidRDefault="00E41CD7" w:rsidP="00D01E34">
            <w:pPr>
              <w:spacing w:line="276" w:lineRule="auto"/>
              <w:ind w:right="1"/>
              <w:jc w:val="center"/>
              <w:rPr>
                <w:color w:val="000000"/>
                <w:sz w:val="20"/>
                <w:szCs w:val="22"/>
              </w:rPr>
            </w:pPr>
            <w:r w:rsidRPr="001243BC">
              <w:rPr>
                <w:color w:val="000000"/>
                <w:sz w:val="20"/>
                <w:szCs w:val="22"/>
              </w:rPr>
              <w:t>663,1</w:t>
            </w:r>
          </w:p>
        </w:tc>
        <w:tc>
          <w:tcPr>
            <w:tcW w:w="963" w:type="dxa"/>
            <w:shd w:val="clear" w:color="auto" w:fill="auto"/>
            <w:vAlign w:val="center"/>
          </w:tcPr>
          <w:p w14:paraId="36296B06" w14:textId="77777777" w:rsidR="00E41CD7" w:rsidRPr="001243BC" w:rsidRDefault="00E41CD7" w:rsidP="00D01E34">
            <w:pPr>
              <w:spacing w:line="276" w:lineRule="auto"/>
              <w:ind w:right="1"/>
              <w:jc w:val="center"/>
              <w:rPr>
                <w:color w:val="000000"/>
                <w:sz w:val="20"/>
                <w:szCs w:val="22"/>
              </w:rPr>
            </w:pPr>
            <w:r w:rsidRPr="001243BC">
              <w:rPr>
                <w:color w:val="000000"/>
                <w:sz w:val="20"/>
                <w:szCs w:val="22"/>
              </w:rPr>
              <w:t>337,7</w:t>
            </w:r>
          </w:p>
        </w:tc>
        <w:tc>
          <w:tcPr>
            <w:tcW w:w="1039" w:type="dxa"/>
            <w:shd w:val="clear" w:color="auto" w:fill="auto"/>
            <w:vAlign w:val="center"/>
          </w:tcPr>
          <w:p w14:paraId="6DFBA8D5" w14:textId="77777777" w:rsidR="00E41CD7" w:rsidRPr="001243BC" w:rsidRDefault="00E41CD7" w:rsidP="00D01E34">
            <w:pPr>
              <w:spacing w:line="276" w:lineRule="auto"/>
              <w:ind w:right="1"/>
              <w:jc w:val="center"/>
              <w:rPr>
                <w:color w:val="000000"/>
                <w:sz w:val="20"/>
                <w:szCs w:val="22"/>
              </w:rPr>
            </w:pPr>
            <w:r w:rsidRPr="001243BC">
              <w:rPr>
                <w:color w:val="000000"/>
                <w:sz w:val="20"/>
                <w:szCs w:val="22"/>
              </w:rPr>
              <w:t>345,8</w:t>
            </w:r>
          </w:p>
        </w:tc>
        <w:tc>
          <w:tcPr>
            <w:tcW w:w="959" w:type="dxa"/>
            <w:shd w:val="clear" w:color="auto" w:fill="auto"/>
            <w:vAlign w:val="center"/>
          </w:tcPr>
          <w:p w14:paraId="6A88E38B" w14:textId="77777777" w:rsidR="00E41CD7" w:rsidRPr="001243BC" w:rsidRDefault="00E41CD7" w:rsidP="00D01E34">
            <w:pPr>
              <w:spacing w:line="276" w:lineRule="auto"/>
              <w:ind w:right="1"/>
              <w:jc w:val="center"/>
              <w:rPr>
                <w:color w:val="000000"/>
                <w:sz w:val="20"/>
                <w:szCs w:val="22"/>
              </w:rPr>
            </w:pPr>
            <w:r w:rsidRPr="001243BC">
              <w:rPr>
                <w:color w:val="000000"/>
                <w:sz w:val="20"/>
                <w:szCs w:val="22"/>
              </w:rPr>
              <w:t>239,9</w:t>
            </w:r>
          </w:p>
        </w:tc>
      </w:tr>
      <w:tr w:rsidR="00E41CD7" w:rsidRPr="001243BC" w14:paraId="170B05E6" w14:textId="77777777" w:rsidTr="006D3C5F">
        <w:trPr>
          <w:trHeight w:val="1110"/>
        </w:trPr>
        <w:tc>
          <w:tcPr>
            <w:tcW w:w="1238" w:type="dxa"/>
            <w:shd w:val="clear" w:color="auto" w:fill="auto"/>
            <w:vAlign w:val="center"/>
          </w:tcPr>
          <w:p w14:paraId="0D822922" w14:textId="77777777" w:rsidR="00E41CD7" w:rsidRPr="001243BC" w:rsidRDefault="00E41CD7" w:rsidP="00D01E34">
            <w:pPr>
              <w:spacing w:line="276" w:lineRule="auto"/>
              <w:jc w:val="center"/>
              <w:rPr>
                <w:b/>
                <w:color w:val="000000"/>
                <w:sz w:val="20"/>
                <w:szCs w:val="22"/>
              </w:rPr>
            </w:pPr>
            <w:r>
              <w:rPr>
                <w:b/>
                <w:color w:val="000000"/>
                <w:sz w:val="20"/>
                <w:szCs w:val="22"/>
                <w:lang w:val="en-US"/>
              </w:rPr>
              <w:t>B</w:t>
            </w:r>
            <w:r w:rsidRPr="001243BC">
              <w:rPr>
                <w:b/>
                <w:color w:val="000000"/>
                <w:sz w:val="20"/>
                <w:szCs w:val="22"/>
              </w:rPr>
              <w:t>alance</w:t>
            </w:r>
          </w:p>
        </w:tc>
        <w:tc>
          <w:tcPr>
            <w:tcW w:w="922" w:type="dxa"/>
            <w:shd w:val="clear" w:color="auto" w:fill="auto"/>
            <w:vAlign w:val="center"/>
          </w:tcPr>
          <w:p w14:paraId="5570C402" w14:textId="77777777" w:rsidR="00E41CD7" w:rsidRPr="001243BC" w:rsidRDefault="00E41CD7" w:rsidP="00D01E34">
            <w:pPr>
              <w:spacing w:line="276" w:lineRule="auto"/>
              <w:ind w:left="2"/>
              <w:jc w:val="center"/>
              <w:rPr>
                <w:color w:val="000000"/>
                <w:sz w:val="20"/>
                <w:szCs w:val="22"/>
              </w:rPr>
            </w:pPr>
            <w:r w:rsidRPr="001243BC">
              <w:rPr>
                <w:color w:val="000000"/>
                <w:sz w:val="20"/>
                <w:szCs w:val="22"/>
              </w:rPr>
              <w:t>–8330,6</w:t>
            </w:r>
          </w:p>
        </w:tc>
        <w:tc>
          <w:tcPr>
            <w:tcW w:w="870" w:type="dxa"/>
            <w:shd w:val="clear" w:color="auto" w:fill="auto"/>
            <w:vAlign w:val="center"/>
          </w:tcPr>
          <w:p w14:paraId="621C6594" w14:textId="77777777" w:rsidR="00E41CD7" w:rsidRPr="001243BC" w:rsidRDefault="00E41CD7" w:rsidP="00D01E34">
            <w:pPr>
              <w:spacing w:line="276" w:lineRule="auto"/>
              <w:ind w:left="1"/>
              <w:jc w:val="center"/>
              <w:rPr>
                <w:color w:val="000000"/>
                <w:sz w:val="20"/>
                <w:szCs w:val="22"/>
              </w:rPr>
            </w:pPr>
            <w:r w:rsidRPr="001243BC">
              <w:rPr>
                <w:color w:val="000000"/>
                <w:sz w:val="20"/>
                <w:szCs w:val="22"/>
              </w:rPr>
              <w:t>–3134,3</w:t>
            </w:r>
          </w:p>
        </w:tc>
        <w:tc>
          <w:tcPr>
            <w:tcW w:w="854" w:type="dxa"/>
            <w:shd w:val="clear" w:color="auto" w:fill="auto"/>
            <w:vAlign w:val="center"/>
          </w:tcPr>
          <w:p w14:paraId="7671CB55" w14:textId="77777777" w:rsidR="00E41CD7" w:rsidRPr="001243BC" w:rsidRDefault="00E41CD7" w:rsidP="00D01E34">
            <w:pPr>
              <w:spacing w:line="276" w:lineRule="auto"/>
              <w:ind w:right="1"/>
              <w:jc w:val="center"/>
              <w:rPr>
                <w:color w:val="000000"/>
                <w:sz w:val="20"/>
                <w:szCs w:val="22"/>
              </w:rPr>
            </w:pPr>
            <w:r w:rsidRPr="001243BC">
              <w:rPr>
                <w:color w:val="000000"/>
                <w:sz w:val="20"/>
                <w:szCs w:val="22"/>
              </w:rPr>
              <w:t>–705,1</w:t>
            </w:r>
          </w:p>
        </w:tc>
        <w:tc>
          <w:tcPr>
            <w:tcW w:w="883" w:type="dxa"/>
            <w:shd w:val="clear" w:color="auto" w:fill="auto"/>
            <w:vAlign w:val="center"/>
          </w:tcPr>
          <w:p w14:paraId="069283A7" w14:textId="77777777" w:rsidR="00E41CD7" w:rsidRPr="001243BC" w:rsidRDefault="00E41CD7" w:rsidP="00D01E34">
            <w:pPr>
              <w:spacing w:line="276" w:lineRule="auto"/>
              <w:ind w:right="2"/>
              <w:jc w:val="center"/>
              <w:rPr>
                <w:color w:val="000000"/>
                <w:sz w:val="20"/>
                <w:szCs w:val="22"/>
              </w:rPr>
            </w:pPr>
            <w:r w:rsidRPr="001243BC">
              <w:rPr>
                <w:color w:val="000000"/>
                <w:sz w:val="20"/>
                <w:szCs w:val="22"/>
              </w:rPr>
              <w:t>–619,6</w:t>
            </w:r>
          </w:p>
        </w:tc>
        <w:tc>
          <w:tcPr>
            <w:tcW w:w="1067" w:type="dxa"/>
            <w:shd w:val="clear" w:color="auto" w:fill="auto"/>
            <w:vAlign w:val="center"/>
          </w:tcPr>
          <w:p w14:paraId="3DD1563D" w14:textId="77777777" w:rsidR="00E41CD7" w:rsidRPr="001243BC" w:rsidRDefault="00E41CD7" w:rsidP="00D01E34">
            <w:pPr>
              <w:spacing w:line="276" w:lineRule="auto"/>
              <w:ind w:right="2"/>
              <w:jc w:val="center"/>
              <w:rPr>
                <w:color w:val="000000"/>
                <w:sz w:val="20"/>
                <w:szCs w:val="22"/>
              </w:rPr>
            </w:pPr>
            <w:r w:rsidRPr="001243BC">
              <w:rPr>
                <w:color w:val="000000"/>
                <w:sz w:val="20"/>
                <w:szCs w:val="22"/>
              </w:rPr>
              <w:t>–488,3</w:t>
            </w:r>
          </w:p>
        </w:tc>
        <w:tc>
          <w:tcPr>
            <w:tcW w:w="850" w:type="dxa"/>
            <w:vAlign w:val="center"/>
          </w:tcPr>
          <w:p w14:paraId="22E64152" w14:textId="77777777" w:rsidR="00E41CD7" w:rsidRPr="001243BC" w:rsidRDefault="00E41CD7" w:rsidP="00D01E34">
            <w:pPr>
              <w:spacing w:line="276" w:lineRule="auto"/>
              <w:jc w:val="center"/>
              <w:rPr>
                <w:color w:val="000000"/>
                <w:sz w:val="20"/>
                <w:szCs w:val="22"/>
              </w:rPr>
            </w:pPr>
            <w:r w:rsidRPr="001243BC">
              <w:rPr>
                <w:color w:val="000000"/>
                <w:sz w:val="20"/>
                <w:szCs w:val="22"/>
              </w:rPr>
              <w:t>–470,6</w:t>
            </w:r>
          </w:p>
        </w:tc>
        <w:tc>
          <w:tcPr>
            <w:tcW w:w="963" w:type="dxa"/>
            <w:shd w:val="clear" w:color="auto" w:fill="auto"/>
            <w:vAlign w:val="center"/>
          </w:tcPr>
          <w:p w14:paraId="7664B47D" w14:textId="77777777" w:rsidR="00E41CD7" w:rsidRPr="001243BC" w:rsidRDefault="00E41CD7" w:rsidP="00D01E34">
            <w:pPr>
              <w:spacing w:line="276" w:lineRule="auto"/>
              <w:ind w:right="2"/>
              <w:jc w:val="center"/>
              <w:rPr>
                <w:color w:val="000000"/>
                <w:sz w:val="20"/>
                <w:szCs w:val="22"/>
              </w:rPr>
            </w:pPr>
            <w:r w:rsidRPr="001243BC">
              <w:rPr>
                <w:color w:val="000000"/>
                <w:sz w:val="20"/>
                <w:szCs w:val="22"/>
              </w:rPr>
              <w:t>–321,0</w:t>
            </w:r>
          </w:p>
        </w:tc>
        <w:tc>
          <w:tcPr>
            <w:tcW w:w="1039" w:type="dxa"/>
            <w:shd w:val="clear" w:color="auto" w:fill="auto"/>
            <w:vAlign w:val="center"/>
          </w:tcPr>
          <w:p w14:paraId="106D071D" w14:textId="77777777" w:rsidR="00E41CD7" w:rsidRPr="001243BC" w:rsidRDefault="00E41CD7" w:rsidP="00D01E34">
            <w:pPr>
              <w:spacing w:line="276" w:lineRule="auto"/>
              <w:ind w:right="2"/>
              <w:jc w:val="center"/>
              <w:rPr>
                <w:color w:val="000000"/>
                <w:sz w:val="20"/>
                <w:szCs w:val="22"/>
              </w:rPr>
            </w:pPr>
            <w:r w:rsidRPr="001243BC">
              <w:rPr>
                <w:color w:val="000000"/>
                <w:sz w:val="20"/>
                <w:szCs w:val="22"/>
              </w:rPr>
              <w:t>–236,3</w:t>
            </w:r>
          </w:p>
        </w:tc>
        <w:tc>
          <w:tcPr>
            <w:tcW w:w="959" w:type="dxa"/>
            <w:shd w:val="clear" w:color="auto" w:fill="auto"/>
            <w:vAlign w:val="center"/>
          </w:tcPr>
          <w:p w14:paraId="41B6A5FF" w14:textId="77777777" w:rsidR="00E41CD7" w:rsidRPr="001243BC" w:rsidRDefault="00E41CD7" w:rsidP="00D01E34">
            <w:pPr>
              <w:spacing w:line="276" w:lineRule="auto"/>
              <w:jc w:val="center"/>
              <w:rPr>
                <w:color w:val="000000"/>
                <w:sz w:val="20"/>
                <w:szCs w:val="22"/>
              </w:rPr>
            </w:pPr>
            <w:r w:rsidRPr="001243BC">
              <w:rPr>
                <w:color w:val="000000"/>
                <w:sz w:val="20"/>
                <w:szCs w:val="22"/>
              </w:rPr>
              <w:t>–121,8</w:t>
            </w:r>
          </w:p>
        </w:tc>
      </w:tr>
    </w:tbl>
    <w:p w14:paraId="73D02F36" w14:textId="1BEC1AD2" w:rsidR="00E41CD7" w:rsidRDefault="006D3C5F" w:rsidP="006D3C5F">
      <w:pPr>
        <w:spacing w:after="160"/>
        <w:ind w:firstLine="709"/>
        <w:contextualSpacing/>
        <w:rPr>
          <w:rFonts w:eastAsia="Calibri"/>
          <w:lang w:val="en-US" w:eastAsia="en-US"/>
        </w:rPr>
      </w:pPr>
      <w:r w:rsidRPr="006D3C5F">
        <w:rPr>
          <w:rFonts w:eastAsia="Calibri"/>
          <w:lang w:val="en-US" w:eastAsia="en-US"/>
        </w:rPr>
        <w:t>Note - Source: own development based on [[2]].</w:t>
      </w:r>
    </w:p>
    <w:p w14:paraId="4BCD9A2B" w14:textId="77777777" w:rsidR="003755D5" w:rsidRDefault="003755D5" w:rsidP="006D3C5F">
      <w:pPr>
        <w:spacing w:after="160"/>
        <w:ind w:firstLine="709"/>
        <w:contextualSpacing/>
        <w:rPr>
          <w:rFonts w:eastAsia="Calibri"/>
          <w:lang w:val="en-US" w:eastAsia="en-US"/>
        </w:rPr>
      </w:pPr>
    </w:p>
    <w:p w14:paraId="708332CE" w14:textId="77777777" w:rsidR="006D3C5F" w:rsidRPr="006D3C5F" w:rsidRDefault="006D3C5F" w:rsidP="003755D5">
      <w:pPr>
        <w:spacing w:line="360" w:lineRule="auto"/>
        <w:ind w:firstLine="709"/>
        <w:contextualSpacing/>
        <w:rPr>
          <w:rFonts w:eastAsia="Calibri"/>
          <w:sz w:val="28"/>
          <w:szCs w:val="28"/>
          <w:lang w:val="en-US" w:eastAsia="en-US"/>
        </w:rPr>
      </w:pPr>
      <w:r w:rsidRPr="006D3C5F">
        <w:rPr>
          <w:rFonts w:eastAsia="Calibri"/>
          <w:sz w:val="28"/>
          <w:szCs w:val="28"/>
          <w:lang w:val="en-US" w:eastAsia="en-US"/>
        </w:rPr>
        <w:t>The data in Table 2 indicate that the largest negative balance in foreign trade in goods of the Republic of Belarus was with the Russian Federation and the People's Republic of China: (-) 8.3 billion US dollars and (-) 3.1 billion US dollars, respectively. Further, in descending order, there are such countries as Italy, Turkey, Germany, USA, Spain, France, Czech Republic.</w:t>
      </w:r>
    </w:p>
    <w:p w14:paraId="74410271" w14:textId="5F171BF6" w:rsidR="006D3C5F" w:rsidRPr="006D3C5F" w:rsidRDefault="006D3C5F" w:rsidP="003755D5">
      <w:pPr>
        <w:spacing w:line="360" w:lineRule="auto"/>
        <w:ind w:firstLine="709"/>
        <w:contextualSpacing/>
        <w:rPr>
          <w:rFonts w:eastAsia="Calibri"/>
          <w:sz w:val="28"/>
          <w:szCs w:val="28"/>
          <w:lang w:val="en-US" w:eastAsia="en-US"/>
        </w:rPr>
      </w:pPr>
      <w:r w:rsidRPr="006D3C5F">
        <w:rPr>
          <w:rFonts w:eastAsia="Calibri"/>
          <w:sz w:val="28"/>
          <w:szCs w:val="28"/>
          <w:lang w:val="en-US" w:eastAsia="en-US"/>
        </w:rPr>
        <w:t xml:space="preserve">The main goods that form the negative balance of the foreign trade balance of the Republic of Belarus in trade with non-CIS countries are engineering products, goods of light industry and plant growing, the import of which </w:t>
      </w:r>
      <w:r w:rsidRPr="006D3C5F">
        <w:rPr>
          <w:rFonts w:eastAsia="Calibri"/>
          <w:sz w:val="28"/>
          <w:szCs w:val="28"/>
          <w:lang w:val="en-US" w:eastAsia="en-US"/>
        </w:rPr>
        <w:lastRenderedPageBreak/>
        <w:t>contributes to the introduction of modern technologies and thereby significantly increases the efficiency of the country's economy.</w:t>
      </w:r>
    </w:p>
    <w:p w14:paraId="7D07A1C2" w14:textId="007FBA8B" w:rsidR="006D3C5F" w:rsidRPr="006D3C5F" w:rsidRDefault="006D3C5F" w:rsidP="003755D5">
      <w:pPr>
        <w:spacing w:line="360" w:lineRule="auto"/>
        <w:ind w:firstLine="709"/>
        <w:contextualSpacing/>
        <w:rPr>
          <w:rFonts w:eastAsia="Calibri"/>
          <w:sz w:val="28"/>
          <w:szCs w:val="28"/>
          <w:lang w:val="en-US" w:eastAsia="en-US"/>
        </w:rPr>
      </w:pPr>
      <w:r w:rsidRPr="006D3C5F">
        <w:rPr>
          <w:rFonts w:eastAsia="Calibri"/>
          <w:sz w:val="28"/>
          <w:szCs w:val="28"/>
          <w:lang w:val="en-US" w:eastAsia="en-US"/>
        </w:rPr>
        <w:t>Mechanical engineering products generate the largest negative balance of 4.5 billion</w:t>
      </w:r>
      <w:r>
        <w:rPr>
          <w:rFonts w:eastAsia="Calibri"/>
          <w:sz w:val="28"/>
          <w:szCs w:val="28"/>
          <w:lang w:val="en-US" w:eastAsia="en-US"/>
        </w:rPr>
        <w:t xml:space="preserve"> </w:t>
      </w:r>
      <w:r w:rsidRPr="006D3C5F">
        <w:rPr>
          <w:rFonts w:eastAsia="Calibri"/>
          <w:sz w:val="28"/>
          <w:szCs w:val="28"/>
          <w:lang w:val="en-US" w:eastAsia="en-US"/>
        </w:rPr>
        <w:t>US dollars. Imports of machinery and equipment in 2019 amounted to 5.8 billion</w:t>
      </w:r>
      <w:r>
        <w:rPr>
          <w:rFonts w:eastAsia="Calibri"/>
          <w:sz w:val="28"/>
          <w:szCs w:val="28"/>
          <w:lang w:val="en-US" w:eastAsia="en-US"/>
        </w:rPr>
        <w:t xml:space="preserve"> </w:t>
      </w:r>
      <w:r w:rsidRPr="006D3C5F">
        <w:rPr>
          <w:rFonts w:eastAsia="Calibri"/>
          <w:sz w:val="28"/>
          <w:szCs w:val="28"/>
          <w:lang w:val="en-US" w:eastAsia="en-US"/>
        </w:rPr>
        <w:t>US dollars, an increase of 11.2%. The export of this group of goods to non-CIS countries is insignificant.</w:t>
      </w:r>
    </w:p>
    <w:p w14:paraId="28D5814B" w14:textId="57CA490C" w:rsidR="006D3C5F" w:rsidRPr="006D3C5F" w:rsidRDefault="006D3C5F" w:rsidP="003755D5">
      <w:pPr>
        <w:spacing w:line="360" w:lineRule="auto"/>
        <w:ind w:firstLine="709"/>
        <w:contextualSpacing/>
        <w:rPr>
          <w:rFonts w:eastAsia="Calibri"/>
          <w:sz w:val="28"/>
          <w:szCs w:val="28"/>
          <w:lang w:val="en-US" w:eastAsia="en-US"/>
        </w:rPr>
      </w:pPr>
      <w:r w:rsidRPr="006D3C5F">
        <w:rPr>
          <w:rFonts w:eastAsia="Calibri"/>
          <w:sz w:val="28"/>
          <w:szCs w:val="28"/>
          <w:lang w:val="en-US" w:eastAsia="en-US"/>
        </w:rPr>
        <w:t>Imports of light industry products reached 2.9 billion</w:t>
      </w:r>
      <w:r>
        <w:rPr>
          <w:rFonts w:eastAsia="Calibri"/>
          <w:sz w:val="28"/>
          <w:szCs w:val="28"/>
          <w:lang w:val="en-US" w:eastAsia="en-US"/>
        </w:rPr>
        <w:t xml:space="preserve"> </w:t>
      </w:r>
      <w:r w:rsidRPr="006D3C5F">
        <w:rPr>
          <w:rFonts w:eastAsia="Calibri"/>
          <w:sz w:val="28"/>
          <w:szCs w:val="28"/>
          <w:lang w:val="en-US" w:eastAsia="en-US"/>
        </w:rPr>
        <w:t>US dollars (+ 6.8% to 2018 volumes). The negative balance for this group of goods amounted to 2 billion</w:t>
      </w:r>
      <w:r>
        <w:rPr>
          <w:rFonts w:eastAsia="Calibri"/>
          <w:sz w:val="28"/>
          <w:szCs w:val="28"/>
          <w:lang w:val="en-US" w:eastAsia="en-US"/>
        </w:rPr>
        <w:t xml:space="preserve"> </w:t>
      </w:r>
      <w:r w:rsidRPr="006D3C5F">
        <w:rPr>
          <w:rFonts w:eastAsia="Calibri"/>
          <w:sz w:val="28"/>
          <w:szCs w:val="28"/>
          <w:lang w:val="en-US" w:eastAsia="en-US"/>
        </w:rPr>
        <w:t>US dollars.</w:t>
      </w:r>
    </w:p>
    <w:p w14:paraId="21CDF0CA" w14:textId="77777777" w:rsidR="006D3C5F" w:rsidRPr="006D3C5F" w:rsidRDefault="006D3C5F" w:rsidP="003755D5">
      <w:pPr>
        <w:spacing w:line="360" w:lineRule="auto"/>
        <w:ind w:firstLine="709"/>
        <w:contextualSpacing/>
        <w:rPr>
          <w:rFonts w:eastAsia="Calibri"/>
          <w:sz w:val="28"/>
          <w:szCs w:val="28"/>
          <w:lang w:val="en-US" w:eastAsia="en-US"/>
        </w:rPr>
      </w:pPr>
      <w:r w:rsidRPr="006D3C5F">
        <w:rPr>
          <w:rFonts w:eastAsia="Calibri"/>
          <w:sz w:val="28"/>
          <w:szCs w:val="28"/>
          <w:lang w:val="en-US" w:eastAsia="en-US"/>
        </w:rPr>
        <w:t>Significant volumes of consumer goods imported by imports indicate that this sector of the country's economy has not yet reached the necessary quality parameters to meet domestic needs and increase the supply of this group of goods to the far abroad. [4].</w:t>
      </w:r>
    </w:p>
    <w:p w14:paraId="4388BA20" w14:textId="06614115" w:rsidR="006D3C5F" w:rsidRDefault="006D3C5F" w:rsidP="003755D5">
      <w:pPr>
        <w:spacing w:line="360" w:lineRule="auto"/>
        <w:ind w:firstLine="709"/>
        <w:contextualSpacing/>
        <w:rPr>
          <w:rFonts w:eastAsia="Calibri"/>
          <w:sz w:val="28"/>
          <w:szCs w:val="28"/>
          <w:lang w:val="en-US" w:eastAsia="en-US"/>
        </w:rPr>
      </w:pPr>
      <w:r w:rsidRPr="006D3C5F">
        <w:rPr>
          <w:rFonts w:eastAsia="Calibri"/>
          <w:sz w:val="28"/>
          <w:szCs w:val="28"/>
          <w:lang w:val="en-US" w:eastAsia="en-US"/>
        </w:rPr>
        <w:t>In general, the structure of imports in the Republic of Belarus for the period of 2019 was represented by the following main commodity groups: mineral fuel, oil and products of their distillation; bituminous substances; mineral waxes; nuclear reactors, boilers, equipment and mechanical devices, their parts; electrical machinery and equipment, their parts; sound recording and reproducing equipment, equipment for recording and reproducing television images and sound, their parts and accessories; means of land transport, except for railway or tram rolling stock, and their parts and accessories; plastics and products from them; ferrous metals and products from them; pharmaceutical products; optical, photographic, cinematographic, measuring, control, precision, medical or surgical instruments and apparatus; their parts and accessories, etc. [5].</w:t>
      </w:r>
    </w:p>
    <w:p w14:paraId="06F09FA9" w14:textId="77777777" w:rsidR="005F0558" w:rsidRPr="005F0558" w:rsidRDefault="005F0558" w:rsidP="003755D5">
      <w:pPr>
        <w:spacing w:line="360" w:lineRule="auto"/>
        <w:ind w:firstLine="709"/>
        <w:contextualSpacing/>
        <w:rPr>
          <w:rFonts w:eastAsia="Calibri"/>
          <w:sz w:val="28"/>
          <w:szCs w:val="28"/>
          <w:lang w:val="en-US" w:eastAsia="en-US"/>
        </w:rPr>
      </w:pPr>
      <w:r w:rsidRPr="005F0558">
        <w:rPr>
          <w:rFonts w:eastAsia="Calibri"/>
          <w:sz w:val="28"/>
          <w:szCs w:val="28"/>
          <w:lang w:val="en-US" w:eastAsia="en-US"/>
        </w:rPr>
        <w:t>In terms of the commodity structure of imports, the negative foreign trade balance of Belarus is formed by the following categories of goods:</w:t>
      </w:r>
    </w:p>
    <w:p w14:paraId="54B6D2C1" w14:textId="0A67906C" w:rsidR="005F0558" w:rsidRPr="005F0558" w:rsidRDefault="005F0558" w:rsidP="003755D5">
      <w:pPr>
        <w:spacing w:line="360" w:lineRule="auto"/>
        <w:ind w:firstLine="709"/>
        <w:contextualSpacing/>
        <w:rPr>
          <w:rFonts w:eastAsia="Calibri"/>
          <w:sz w:val="28"/>
          <w:szCs w:val="28"/>
          <w:lang w:val="en-US" w:eastAsia="en-US"/>
        </w:rPr>
      </w:pPr>
      <w:r w:rsidRPr="005F0558">
        <w:rPr>
          <w:rFonts w:eastAsia="Calibri"/>
          <w:sz w:val="28"/>
          <w:szCs w:val="28"/>
          <w:lang w:val="en-US" w:eastAsia="en-US"/>
        </w:rPr>
        <w:t>- goods, the dynamics of imports of which corresponds to the dynamics of exports (mineral fuels, ferrous metals, various food products, tools and apparatus</w:t>
      </w:r>
      <w:r>
        <w:rPr>
          <w:rFonts w:eastAsia="Calibri"/>
          <w:sz w:val="28"/>
          <w:szCs w:val="28"/>
          <w:lang w:val="en-US" w:eastAsia="en-US"/>
        </w:rPr>
        <w:t xml:space="preserve"> both </w:t>
      </w:r>
      <w:r w:rsidRPr="005F0558">
        <w:rPr>
          <w:rFonts w:eastAsia="Calibri"/>
          <w:sz w:val="28"/>
          <w:szCs w:val="28"/>
          <w:lang w:val="en-US" w:eastAsia="en-US"/>
        </w:rPr>
        <w:t>optical and photographic);</w:t>
      </w:r>
    </w:p>
    <w:p w14:paraId="04C01666" w14:textId="77777777" w:rsidR="005F0558" w:rsidRPr="005F0558" w:rsidRDefault="005F0558" w:rsidP="003755D5">
      <w:pPr>
        <w:spacing w:line="360" w:lineRule="auto"/>
        <w:ind w:firstLine="709"/>
        <w:contextualSpacing/>
        <w:rPr>
          <w:rFonts w:eastAsia="Calibri"/>
          <w:sz w:val="28"/>
          <w:szCs w:val="28"/>
          <w:lang w:val="en-US" w:eastAsia="en-US"/>
        </w:rPr>
      </w:pPr>
      <w:r w:rsidRPr="005F0558">
        <w:rPr>
          <w:rFonts w:eastAsia="Calibri"/>
          <w:sz w:val="28"/>
          <w:szCs w:val="28"/>
          <w:lang w:val="en-US" w:eastAsia="en-US"/>
        </w:rPr>
        <w:lastRenderedPageBreak/>
        <w:t>- goods, the dynamics of export of which is ahead of the dynamics of their imports (pharmaceuticals, plastics and their products, fish and crustaceans, residues and waste of the food industry, animal feed);</w:t>
      </w:r>
    </w:p>
    <w:p w14:paraId="58280A30" w14:textId="77777777" w:rsidR="005F0558" w:rsidRPr="005F0558" w:rsidRDefault="005F0558" w:rsidP="003755D5">
      <w:pPr>
        <w:spacing w:line="360" w:lineRule="auto"/>
        <w:ind w:firstLine="709"/>
        <w:contextualSpacing/>
        <w:rPr>
          <w:rFonts w:eastAsia="Calibri"/>
          <w:sz w:val="28"/>
          <w:szCs w:val="28"/>
          <w:lang w:val="en-US" w:eastAsia="en-US"/>
        </w:rPr>
      </w:pPr>
      <w:r w:rsidRPr="005F0558">
        <w:rPr>
          <w:rFonts w:eastAsia="Calibri"/>
          <w:sz w:val="28"/>
          <w:szCs w:val="28"/>
          <w:lang w:val="en-US" w:eastAsia="en-US"/>
        </w:rPr>
        <w:t>- goods, the dynamics of imports of which is steadily ahead of the dynamics of their exports (equipment, mechanical devices, electrical machines, etc.).</w:t>
      </w:r>
    </w:p>
    <w:p w14:paraId="131BCA0D" w14:textId="77777777" w:rsidR="005F0558" w:rsidRPr="005F0558" w:rsidRDefault="005F0558" w:rsidP="003755D5">
      <w:pPr>
        <w:spacing w:line="360" w:lineRule="auto"/>
        <w:ind w:firstLine="709"/>
        <w:contextualSpacing/>
        <w:rPr>
          <w:rFonts w:eastAsia="Calibri"/>
          <w:sz w:val="28"/>
          <w:szCs w:val="28"/>
          <w:lang w:val="en-US" w:eastAsia="en-US"/>
        </w:rPr>
      </w:pPr>
      <w:r w:rsidRPr="005F0558">
        <w:rPr>
          <w:rFonts w:eastAsia="Calibri"/>
          <w:sz w:val="28"/>
          <w:szCs w:val="28"/>
          <w:lang w:val="en-US" w:eastAsia="en-US"/>
        </w:rPr>
        <w:t>In order to reduce the tendency for the excess of imports of goods over exports in the Republic of Belarus, identified in the course of the study, it is necessary to intensify the implementation of the import substitution policy.</w:t>
      </w:r>
    </w:p>
    <w:p w14:paraId="2C231CCE" w14:textId="517B8323" w:rsidR="005F0558" w:rsidRPr="005F0558" w:rsidRDefault="005F0558" w:rsidP="003755D5">
      <w:pPr>
        <w:spacing w:line="360" w:lineRule="auto"/>
        <w:ind w:firstLine="709"/>
        <w:contextualSpacing/>
        <w:rPr>
          <w:rFonts w:eastAsia="Calibri"/>
          <w:sz w:val="28"/>
          <w:szCs w:val="28"/>
          <w:lang w:val="en-US" w:eastAsia="en-US"/>
        </w:rPr>
      </w:pPr>
      <w:r w:rsidRPr="005F0558">
        <w:rPr>
          <w:rFonts w:eastAsia="Calibri"/>
          <w:sz w:val="28"/>
          <w:szCs w:val="28"/>
          <w:lang w:val="en-US" w:eastAsia="en-US"/>
        </w:rPr>
        <w:t>Import substitution is understood as state policy aimed at rationalizing the import of goods and services by stimulating domestic producers of similar products, creating new enterprises in the country, including those with the</w:t>
      </w:r>
      <w:r>
        <w:rPr>
          <w:rFonts w:eastAsia="Calibri"/>
          <w:sz w:val="28"/>
          <w:szCs w:val="28"/>
          <w:lang w:val="en-US" w:eastAsia="en-US"/>
        </w:rPr>
        <w:t xml:space="preserve"> </w:t>
      </w:r>
      <w:r w:rsidRPr="005F0558">
        <w:rPr>
          <w:rFonts w:eastAsia="Calibri"/>
          <w:sz w:val="28"/>
          <w:szCs w:val="28"/>
          <w:lang w:val="en-US" w:eastAsia="en-US"/>
        </w:rPr>
        <w:t>participation of foreign capital to organize the production of products that were previously imported [6].</w:t>
      </w:r>
    </w:p>
    <w:p w14:paraId="5A14DAA2" w14:textId="77777777" w:rsidR="005F0558" w:rsidRPr="005F0558" w:rsidRDefault="005F0558" w:rsidP="003755D5">
      <w:pPr>
        <w:spacing w:line="360" w:lineRule="auto"/>
        <w:ind w:firstLine="709"/>
        <w:contextualSpacing/>
        <w:rPr>
          <w:rFonts w:eastAsia="Calibri"/>
          <w:sz w:val="28"/>
          <w:szCs w:val="28"/>
          <w:lang w:val="en-US" w:eastAsia="en-US"/>
        </w:rPr>
      </w:pPr>
      <w:r w:rsidRPr="005F0558">
        <w:rPr>
          <w:rFonts w:eastAsia="Calibri"/>
          <w:sz w:val="28"/>
          <w:szCs w:val="28"/>
          <w:lang w:val="en-US" w:eastAsia="en-US"/>
        </w:rPr>
        <w:t>It can be argued that import substitution implies a reduction in imports with a simultaneous release of foreign exchange funds, as well as an increase in the production of similar goods within the country with the possibility of their subsequent sale in the external market.</w:t>
      </w:r>
    </w:p>
    <w:p w14:paraId="6D1463D9" w14:textId="77777777" w:rsidR="005F0558" w:rsidRPr="005F0558" w:rsidRDefault="005F0558" w:rsidP="003755D5">
      <w:pPr>
        <w:spacing w:line="360" w:lineRule="auto"/>
        <w:ind w:firstLine="709"/>
        <w:contextualSpacing/>
        <w:rPr>
          <w:rFonts w:eastAsia="Calibri"/>
          <w:sz w:val="28"/>
          <w:szCs w:val="28"/>
          <w:lang w:val="en-US" w:eastAsia="en-US"/>
        </w:rPr>
      </w:pPr>
      <w:r w:rsidRPr="005F0558">
        <w:rPr>
          <w:rFonts w:eastAsia="Calibri"/>
          <w:sz w:val="28"/>
          <w:szCs w:val="28"/>
          <w:lang w:val="en-US" w:eastAsia="en-US"/>
        </w:rPr>
        <w:t>In this context, it should be noted that at present Belarus is implementing a policy of import substitution as one of the main components of the country's economic policy.</w:t>
      </w:r>
    </w:p>
    <w:p w14:paraId="5C0A6F6F" w14:textId="52D9DAC3" w:rsidR="006D3C5F" w:rsidRDefault="005F0558" w:rsidP="003755D5">
      <w:pPr>
        <w:spacing w:line="360" w:lineRule="auto"/>
        <w:ind w:firstLine="709"/>
        <w:contextualSpacing/>
        <w:rPr>
          <w:rFonts w:eastAsia="Calibri"/>
          <w:sz w:val="28"/>
          <w:szCs w:val="28"/>
          <w:lang w:val="en-US" w:eastAsia="en-US"/>
        </w:rPr>
      </w:pPr>
      <w:r w:rsidRPr="005F0558">
        <w:rPr>
          <w:rFonts w:eastAsia="Calibri"/>
          <w:sz w:val="28"/>
          <w:szCs w:val="28"/>
          <w:lang w:val="en-US" w:eastAsia="en-US"/>
        </w:rPr>
        <w:t>In particular, for the period 2015-2020 national products replaced imports worth more than 37 billion US</w:t>
      </w:r>
      <w:r>
        <w:rPr>
          <w:rFonts w:eastAsia="Calibri"/>
          <w:sz w:val="28"/>
          <w:szCs w:val="28"/>
          <w:lang w:val="en-US" w:eastAsia="en-US"/>
        </w:rPr>
        <w:t xml:space="preserve"> dollars</w:t>
      </w:r>
      <w:r w:rsidRPr="005F0558">
        <w:rPr>
          <w:rFonts w:eastAsia="Calibri"/>
          <w:sz w:val="28"/>
          <w:szCs w:val="28"/>
          <w:lang w:val="en-US" w:eastAsia="en-US"/>
        </w:rPr>
        <w:t>. We increased the volume of production of import-substituting products from 11.8 to more than 20.2 billion US dollars over this period. The share of import-substituting products in the total volume of industrial production increased: from 26% to 37%. About 52% of import-substituting products are imported by other countries [7].</w:t>
      </w:r>
    </w:p>
    <w:p w14:paraId="0EE42A1C" w14:textId="77777777" w:rsidR="005F0558" w:rsidRPr="005F0558" w:rsidRDefault="005F0558" w:rsidP="003755D5">
      <w:pPr>
        <w:spacing w:line="360" w:lineRule="auto"/>
        <w:ind w:firstLine="709"/>
        <w:contextualSpacing/>
        <w:rPr>
          <w:rFonts w:eastAsia="Calibri"/>
          <w:sz w:val="28"/>
          <w:szCs w:val="28"/>
          <w:lang w:val="en-US" w:eastAsia="en-US"/>
        </w:rPr>
      </w:pPr>
      <w:r w:rsidRPr="005F0558">
        <w:rPr>
          <w:rFonts w:eastAsia="Calibri"/>
          <w:sz w:val="28"/>
          <w:szCs w:val="28"/>
          <w:lang w:val="en-US" w:eastAsia="en-US"/>
        </w:rPr>
        <w:t xml:space="preserve">The Ministry of Antimonopoly Regulation and Trade of the Republic of Belarus has developed a List of consumer goods offered for the development of their production, the production of import-substituting products and the </w:t>
      </w:r>
      <w:r w:rsidRPr="005F0558">
        <w:rPr>
          <w:rFonts w:eastAsia="Calibri"/>
          <w:sz w:val="28"/>
          <w:szCs w:val="28"/>
          <w:lang w:val="en-US" w:eastAsia="en-US"/>
        </w:rPr>
        <w:lastRenderedPageBreak/>
        <w:t>development of the range, taking into account the market conditions in 2020. This list includes several groups:</w:t>
      </w:r>
    </w:p>
    <w:p w14:paraId="623024E0" w14:textId="77777777" w:rsidR="005F0558" w:rsidRPr="005F0558" w:rsidRDefault="005F0558" w:rsidP="003755D5">
      <w:pPr>
        <w:spacing w:line="360" w:lineRule="auto"/>
        <w:ind w:firstLine="709"/>
        <w:contextualSpacing/>
        <w:rPr>
          <w:rFonts w:eastAsia="Calibri"/>
          <w:sz w:val="28"/>
          <w:szCs w:val="28"/>
          <w:lang w:val="en-US" w:eastAsia="en-US"/>
        </w:rPr>
      </w:pPr>
      <w:r w:rsidRPr="005F0558">
        <w:rPr>
          <w:rFonts w:eastAsia="Calibri"/>
          <w:sz w:val="28"/>
          <w:szCs w:val="28"/>
          <w:lang w:val="en-US" w:eastAsia="en-US"/>
        </w:rPr>
        <w:t>1. The first group, containing goods, which are produced in the republic, but in insufficient quantity and range, or which do not fully meet the demand for certain parameters (properties).</w:t>
      </w:r>
    </w:p>
    <w:p w14:paraId="6C0381C2" w14:textId="53DBA9DE" w:rsidR="005F0558" w:rsidRPr="005F0558" w:rsidRDefault="005F0558" w:rsidP="003755D5">
      <w:pPr>
        <w:spacing w:line="360" w:lineRule="auto"/>
        <w:ind w:firstLine="709"/>
        <w:contextualSpacing/>
        <w:rPr>
          <w:rFonts w:eastAsia="Calibri"/>
          <w:sz w:val="28"/>
          <w:szCs w:val="28"/>
          <w:lang w:val="en-US" w:eastAsia="en-US"/>
        </w:rPr>
      </w:pPr>
      <w:r w:rsidRPr="005F0558">
        <w:rPr>
          <w:rFonts w:eastAsia="Calibri"/>
          <w:sz w:val="28"/>
          <w:szCs w:val="28"/>
          <w:lang w:val="en-US" w:eastAsia="en-US"/>
        </w:rPr>
        <w:t>The nomenclature for this group includes: electrical goods, dishes, household goods, tools, locks and hardware, household chemicals, plant protection products in personal subsidiary plots, fertilizers, plastic products, sanitary ware, building materials, haberdashery goods, products sanitary and hygienic purposes, perfumery and cosmetic products, television and radio goods, watches, school-writing goods and stationery</w:t>
      </w:r>
      <w:r>
        <w:rPr>
          <w:rFonts w:eastAsia="Calibri"/>
          <w:sz w:val="28"/>
          <w:szCs w:val="28"/>
          <w:lang w:val="en-US" w:eastAsia="en-US"/>
        </w:rPr>
        <w:t>,</w:t>
      </w:r>
      <w:r w:rsidRPr="005F0558">
        <w:rPr>
          <w:rFonts w:eastAsia="Calibri"/>
          <w:sz w:val="28"/>
          <w:szCs w:val="28"/>
          <w:lang w:val="en-US" w:eastAsia="en-US"/>
        </w:rPr>
        <w:t xml:space="preserve"> goods for physical education (sports and tourism), passenger cars, scooters, toys, furniture, tools and accessories for pets, fabrics, bed linen, clothing and knitwear, footwear, as well as a certain range of food products [8].</w:t>
      </w:r>
    </w:p>
    <w:p w14:paraId="5D95EE41" w14:textId="60C8DF53" w:rsidR="005F0558" w:rsidRPr="005F0558" w:rsidRDefault="005F0558" w:rsidP="003755D5">
      <w:pPr>
        <w:spacing w:line="360" w:lineRule="auto"/>
        <w:ind w:firstLine="709"/>
        <w:contextualSpacing/>
        <w:rPr>
          <w:rFonts w:eastAsia="Calibri"/>
          <w:sz w:val="28"/>
          <w:szCs w:val="28"/>
          <w:lang w:val="en-US" w:eastAsia="en-US"/>
        </w:rPr>
      </w:pPr>
      <w:r w:rsidRPr="005F0558">
        <w:rPr>
          <w:rFonts w:eastAsia="Calibri"/>
          <w:sz w:val="28"/>
          <w:szCs w:val="28"/>
          <w:lang w:val="en-US" w:eastAsia="en-US"/>
        </w:rPr>
        <w:t>2. The second group, containing goods not produced in the country, which include electrical goods, dishes, household goods, tools, household chemicals, sanitary ware, construction materials, haberdashery goods, TV and radio goods, photographic goods, computers, school and writing goods and stationery, goods for physical education (sports and tourism), motorbikes, toys, goods for children, accessories for newborns, tools and supplies for pets, fabrics, as well as a certain range of food products [9].</w:t>
      </w:r>
    </w:p>
    <w:p w14:paraId="0AAA5AB6" w14:textId="5BE21A57" w:rsidR="005F0558" w:rsidRPr="006D3C5F" w:rsidRDefault="005F0558" w:rsidP="003755D5">
      <w:pPr>
        <w:spacing w:line="360" w:lineRule="auto"/>
        <w:ind w:firstLine="709"/>
        <w:contextualSpacing/>
        <w:rPr>
          <w:rFonts w:eastAsia="Calibri"/>
          <w:sz w:val="28"/>
          <w:szCs w:val="28"/>
          <w:lang w:val="en-US" w:eastAsia="en-US"/>
        </w:rPr>
      </w:pPr>
      <w:r w:rsidRPr="005F0558">
        <w:rPr>
          <w:rFonts w:eastAsia="Calibri"/>
          <w:sz w:val="28"/>
          <w:szCs w:val="28"/>
          <w:lang w:val="en-US" w:eastAsia="en-US"/>
        </w:rPr>
        <w:t xml:space="preserve">The import substitution policy in the Republic of Belarus involves the expansion of the share of the provision of the domestic market with domestic goods. Moreover, its main task is not the mechanical substitution of imported goods by domestic counterparts, but the development of competitive national production [10]. The list of commodity items for import substitution is annually adjusted and updated. In particular, it includes new items for which the import of goods increased in the previous year and amounted to more than one million US dollars and excludes items for which there is practically no import. Thus, the country is pursuing an effective policy to reduce import dependence. Priority is </w:t>
      </w:r>
      <w:r w:rsidRPr="005F0558">
        <w:rPr>
          <w:rFonts w:eastAsia="Calibri"/>
          <w:sz w:val="28"/>
          <w:szCs w:val="28"/>
          <w:lang w:val="en-US" w:eastAsia="en-US"/>
        </w:rPr>
        <w:lastRenderedPageBreak/>
        <w:t>given to commodity items similar in technological processes to those already manufactured.</w:t>
      </w:r>
    </w:p>
    <w:p w14:paraId="2866912D" w14:textId="77777777" w:rsidR="00700D99" w:rsidRPr="00700D99" w:rsidRDefault="00700D99" w:rsidP="003755D5">
      <w:pPr>
        <w:spacing w:line="360" w:lineRule="auto"/>
        <w:ind w:firstLine="709"/>
        <w:jc w:val="both"/>
        <w:rPr>
          <w:sz w:val="28"/>
          <w:szCs w:val="28"/>
          <w:lang w:val="en-US"/>
        </w:rPr>
      </w:pPr>
      <w:r w:rsidRPr="00700D99">
        <w:rPr>
          <w:sz w:val="28"/>
          <w:szCs w:val="28"/>
          <w:lang w:val="en-US"/>
        </w:rPr>
        <w:t xml:space="preserve">The main manufacturers of import-substituting products are organizations of the Ministry of Industry, the </w:t>
      </w:r>
      <w:r w:rsidRPr="00700D99">
        <w:rPr>
          <w:color w:val="FF0000"/>
          <w:sz w:val="28"/>
          <w:szCs w:val="28"/>
          <w:lang w:val="en-US"/>
        </w:rPr>
        <w:t>Belneftekhim</w:t>
      </w:r>
      <w:r w:rsidRPr="00700D99">
        <w:rPr>
          <w:sz w:val="28"/>
          <w:szCs w:val="28"/>
          <w:lang w:val="en-US"/>
        </w:rPr>
        <w:t xml:space="preserve"> Concern, the </w:t>
      </w:r>
      <w:r w:rsidRPr="00700D99">
        <w:rPr>
          <w:color w:val="FF0000"/>
          <w:sz w:val="28"/>
          <w:szCs w:val="28"/>
          <w:lang w:val="en-US"/>
        </w:rPr>
        <w:t>Bellesbumprom</w:t>
      </w:r>
      <w:r w:rsidRPr="00700D99">
        <w:rPr>
          <w:sz w:val="28"/>
          <w:szCs w:val="28"/>
          <w:lang w:val="en-US"/>
        </w:rPr>
        <w:t xml:space="preserve"> Concern, the Ministry of Architecture and Construction, the Ministry of Health, etc. [11].</w:t>
      </w:r>
    </w:p>
    <w:p w14:paraId="01DC26D8" w14:textId="77777777" w:rsidR="00700D99" w:rsidRPr="00700D99" w:rsidRDefault="00700D99" w:rsidP="003755D5">
      <w:pPr>
        <w:spacing w:line="360" w:lineRule="auto"/>
        <w:ind w:firstLine="709"/>
        <w:jc w:val="both"/>
        <w:rPr>
          <w:sz w:val="28"/>
          <w:szCs w:val="28"/>
          <w:lang w:val="en-US"/>
        </w:rPr>
      </w:pPr>
      <w:r w:rsidRPr="00700D99">
        <w:rPr>
          <w:sz w:val="28"/>
          <w:szCs w:val="28"/>
          <w:lang w:val="en-US"/>
        </w:rPr>
        <w:t>In particular, the Ministry of Industry of the Republic of Belarus has developed a List of products demanded by organizations in this industry and recommended for development on the territory of our country: radiators and components, bearings, braking equipment, cable products, turbochargers, etc. [12].</w:t>
      </w:r>
    </w:p>
    <w:p w14:paraId="75CAE87C" w14:textId="77777777" w:rsidR="00700D99" w:rsidRPr="00700D99" w:rsidRDefault="00700D99" w:rsidP="003755D5">
      <w:pPr>
        <w:spacing w:line="360" w:lineRule="auto"/>
        <w:ind w:firstLine="709"/>
        <w:jc w:val="both"/>
        <w:rPr>
          <w:sz w:val="28"/>
          <w:szCs w:val="28"/>
          <w:lang w:val="en-US"/>
        </w:rPr>
      </w:pPr>
      <w:r w:rsidRPr="00700D99">
        <w:rPr>
          <w:sz w:val="28"/>
          <w:szCs w:val="28"/>
          <w:lang w:val="en-US"/>
        </w:rPr>
        <w:t xml:space="preserve">The Belarusian State Concern for the Production and Sale of Light Industry Goods </w:t>
      </w:r>
      <w:r w:rsidRPr="00700D99">
        <w:rPr>
          <w:color w:val="FF0000"/>
          <w:sz w:val="28"/>
          <w:szCs w:val="28"/>
          <w:lang w:val="en-US"/>
        </w:rPr>
        <w:t>("Bellegprom</w:t>
      </w:r>
      <w:r w:rsidRPr="00700D99">
        <w:rPr>
          <w:sz w:val="28"/>
          <w:szCs w:val="28"/>
          <w:lang w:val="en-US"/>
        </w:rPr>
        <w:t>") has compiled an approximate list of goods of foreign origin purchased by the enterprises of the industry, potentially possible for production by small and medium-sized businesses in Belarus. The basis of this list is made up of: accessories, shoe upper blanks, shoe bottom blanks, packaging products, chemicals, technical equipment and consumables for technological equipment, other materials and components not related to technological equipment [13].</w:t>
      </w:r>
    </w:p>
    <w:p w14:paraId="0445C9D9" w14:textId="61B3BAAC" w:rsidR="00700D99" w:rsidRPr="00700D99" w:rsidRDefault="00700D99" w:rsidP="003755D5">
      <w:pPr>
        <w:spacing w:line="360" w:lineRule="auto"/>
        <w:ind w:firstLine="709"/>
        <w:jc w:val="both"/>
        <w:rPr>
          <w:sz w:val="28"/>
          <w:szCs w:val="28"/>
          <w:lang w:val="en-US"/>
        </w:rPr>
      </w:pPr>
      <w:r w:rsidRPr="00700D99">
        <w:rPr>
          <w:sz w:val="28"/>
          <w:szCs w:val="28"/>
          <w:lang w:val="en-US"/>
        </w:rPr>
        <w:t>Organizations of the Belarusian Production and Trade Concern of the Timber, Woodworking and Pulp and Paper Industry (</w:t>
      </w:r>
      <w:r w:rsidRPr="00700D99">
        <w:rPr>
          <w:color w:val="FF0000"/>
          <w:sz w:val="28"/>
          <w:szCs w:val="28"/>
          <w:lang w:val="en-US"/>
        </w:rPr>
        <w:t>Bellesbumprom</w:t>
      </w:r>
      <w:r w:rsidRPr="00700D99">
        <w:rPr>
          <w:sz w:val="28"/>
          <w:szCs w:val="28"/>
          <w:lang w:val="en-US"/>
        </w:rPr>
        <w:t>) use a number of imported materials (raw materials, chemical compositions, components, etc.) in their production. To a greater extent, goods that are not produced (sold) on the territory of the Republic of Belarus or are produced in limited quantities</w:t>
      </w:r>
      <w:r>
        <w:rPr>
          <w:sz w:val="28"/>
          <w:szCs w:val="28"/>
          <w:lang w:val="en-US"/>
        </w:rPr>
        <w:t xml:space="preserve"> </w:t>
      </w:r>
      <w:r w:rsidRPr="00700D99">
        <w:rPr>
          <w:sz w:val="28"/>
          <w:szCs w:val="28"/>
          <w:lang w:val="en-US"/>
        </w:rPr>
        <w:t>are used. In addition, it can be goods, the price of which is lower than that of domestic counterparts. The industrial organizations of this concern are ready to use import substituting materials in their activities [14].</w:t>
      </w:r>
    </w:p>
    <w:p w14:paraId="074EF94D" w14:textId="088A4D10" w:rsidR="00E41CD7" w:rsidRDefault="00700D99" w:rsidP="003755D5">
      <w:pPr>
        <w:spacing w:line="360" w:lineRule="auto"/>
        <w:ind w:firstLine="709"/>
        <w:jc w:val="both"/>
        <w:rPr>
          <w:sz w:val="28"/>
          <w:szCs w:val="28"/>
          <w:lang w:val="en-US"/>
        </w:rPr>
      </w:pPr>
      <w:r w:rsidRPr="00700D99">
        <w:rPr>
          <w:sz w:val="28"/>
          <w:szCs w:val="28"/>
          <w:lang w:val="en-US"/>
        </w:rPr>
        <w:t>In the country as a whole, the main directions of import substitution include the production of light and food industries, woodworking, the production of cosmetics and household chemicals, the production of medical devices, the production of certain types of components and building materials, the development of innovation, etc.</w:t>
      </w:r>
    </w:p>
    <w:p w14:paraId="10409AD6" w14:textId="77777777" w:rsidR="004A0E66" w:rsidRPr="004A0E66" w:rsidRDefault="004A0E66" w:rsidP="003755D5">
      <w:pPr>
        <w:spacing w:line="360" w:lineRule="auto"/>
        <w:ind w:firstLine="709"/>
        <w:jc w:val="both"/>
        <w:rPr>
          <w:sz w:val="28"/>
          <w:szCs w:val="28"/>
          <w:lang w:val="en-US"/>
        </w:rPr>
      </w:pPr>
      <w:r w:rsidRPr="004A0E66">
        <w:rPr>
          <w:sz w:val="28"/>
          <w:szCs w:val="28"/>
          <w:lang w:val="en-US"/>
        </w:rPr>
        <w:lastRenderedPageBreak/>
        <w:t>Lists of imported goods for their possible development by small and medium-sized businesses in the Republic of Belarus are presented on the websites of republican government bodies, regional executive committees, Minsk city executive committee, which indicates a certain capacity of the domestic market and the demand for import-substituting products.</w:t>
      </w:r>
    </w:p>
    <w:p w14:paraId="1980B400" w14:textId="77777777" w:rsidR="004A0E66" w:rsidRPr="004A0E66" w:rsidRDefault="004A0E66" w:rsidP="003755D5">
      <w:pPr>
        <w:spacing w:line="360" w:lineRule="auto"/>
        <w:ind w:firstLine="709"/>
        <w:jc w:val="both"/>
        <w:rPr>
          <w:sz w:val="28"/>
          <w:szCs w:val="28"/>
          <w:lang w:val="en-US"/>
        </w:rPr>
      </w:pPr>
      <w:r w:rsidRPr="004A0E66">
        <w:rPr>
          <w:sz w:val="28"/>
          <w:szCs w:val="28"/>
          <w:lang w:val="en-US"/>
        </w:rPr>
        <w:t>Of particular importance are those areas of import substitution in which our country has comparative advantages, Belarusian production organizations will be able to be competitive in the long term and the development of new products will contribute to the diversification of export flows. In the future, the import-substituting industries created in the republic should be focused on the EAEU and far abroad markets, which, in turn, will provide a scale effect.</w:t>
      </w:r>
    </w:p>
    <w:p w14:paraId="79861693" w14:textId="77777777" w:rsidR="004A0E66" w:rsidRPr="004A0E66" w:rsidRDefault="004A0E66" w:rsidP="003755D5">
      <w:pPr>
        <w:spacing w:line="360" w:lineRule="auto"/>
        <w:ind w:firstLine="709"/>
        <w:jc w:val="both"/>
        <w:rPr>
          <w:sz w:val="28"/>
          <w:szCs w:val="28"/>
          <w:lang w:val="en-US"/>
        </w:rPr>
      </w:pPr>
      <w:r w:rsidRPr="004A0E66">
        <w:rPr>
          <w:sz w:val="28"/>
          <w:szCs w:val="28"/>
          <w:lang w:val="en-US"/>
        </w:rPr>
        <w:t>The accelerated growth of the production of import-substituting products in our country is facilitated by R&amp;D, provision of financial and technical resources, the availability of the necessary infrastructure, the introduction of modern communication and information technologies.</w:t>
      </w:r>
    </w:p>
    <w:p w14:paraId="3CBB0A6C" w14:textId="2A35B568" w:rsidR="004A0E66" w:rsidRPr="006D3C5F" w:rsidRDefault="004A0E66" w:rsidP="003755D5">
      <w:pPr>
        <w:spacing w:line="360" w:lineRule="auto"/>
        <w:ind w:firstLine="709"/>
        <w:jc w:val="both"/>
        <w:rPr>
          <w:sz w:val="28"/>
          <w:szCs w:val="28"/>
          <w:lang w:val="en-US"/>
        </w:rPr>
      </w:pPr>
      <w:r w:rsidRPr="004A0E66">
        <w:rPr>
          <w:sz w:val="28"/>
          <w:szCs w:val="28"/>
          <w:lang w:val="en-US"/>
        </w:rPr>
        <w:t>Thus, on the basis of the study, it can be concluded that the policy of import substitution is advisable and relevant, which, in turn, will reduce the import of goods and, as a result, reduce the deficit and reduce the negative balance of foreign trade in goods of the Republic of Belarus.</w:t>
      </w:r>
      <w:r w:rsidR="0081687B">
        <w:rPr>
          <w:sz w:val="28"/>
          <w:szCs w:val="28"/>
          <w:lang w:val="en-US"/>
        </w:rPr>
        <w:t xml:space="preserve"> </w:t>
      </w:r>
    </w:p>
    <w:p w14:paraId="19F57A3C" w14:textId="77777777" w:rsidR="000B5799" w:rsidRPr="001243BC" w:rsidRDefault="000B5799" w:rsidP="000B5799">
      <w:pPr>
        <w:widowControl w:val="0"/>
        <w:spacing w:line="360" w:lineRule="auto"/>
        <w:ind w:firstLine="720"/>
        <w:jc w:val="center"/>
        <w:rPr>
          <w:b/>
          <w:sz w:val="28"/>
          <w:szCs w:val="28"/>
          <w:lang w:val="en-US"/>
        </w:rPr>
      </w:pPr>
      <w:r w:rsidRPr="001243BC">
        <w:rPr>
          <w:b/>
          <w:sz w:val="28"/>
          <w:szCs w:val="28"/>
          <w:lang w:val="en-US"/>
        </w:rPr>
        <w:t>LITERATURE</w:t>
      </w:r>
    </w:p>
    <w:p w14:paraId="795F1840" w14:textId="77777777" w:rsidR="000B5799" w:rsidRPr="001243BC" w:rsidRDefault="000B5799" w:rsidP="000B5799">
      <w:pPr>
        <w:widowControl w:val="0"/>
        <w:spacing w:line="360" w:lineRule="auto"/>
        <w:ind w:firstLine="709"/>
        <w:jc w:val="both"/>
        <w:rPr>
          <w:b/>
          <w:sz w:val="28"/>
          <w:szCs w:val="28"/>
          <w:lang w:val="en-US"/>
        </w:rPr>
      </w:pPr>
    </w:p>
    <w:p w14:paraId="503241E4" w14:textId="77777777" w:rsidR="000B5799" w:rsidRPr="001243BC" w:rsidRDefault="000B5799" w:rsidP="000B5799">
      <w:pPr>
        <w:widowControl w:val="0"/>
        <w:spacing w:line="360" w:lineRule="auto"/>
        <w:ind w:firstLine="709"/>
        <w:jc w:val="both"/>
        <w:rPr>
          <w:sz w:val="28"/>
          <w:szCs w:val="28"/>
          <w:shd w:val="clear" w:color="auto" w:fill="FFFFFF"/>
          <w:lang w:val="en-US"/>
        </w:rPr>
      </w:pPr>
      <w:r w:rsidRPr="001243BC">
        <w:rPr>
          <w:sz w:val="28"/>
          <w:szCs w:val="28"/>
          <w:shd w:val="clear" w:color="auto" w:fill="FFFFFF"/>
          <w:lang w:val="en-US"/>
        </w:rPr>
        <w:t xml:space="preserve">1 General information on foreign trade: directions, tasks, results for the current period // Official website of the Ministry of Foreign Affairs of the Republic. Belarus [Electronic resource]. – Access mode: https://mfa.gov.by/export/foreign_trade /. – Date of access: 08.11.2020. </w:t>
      </w:r>
    </w:p>
    <w:p w14:paraId="33169E5F" w14:textId="77777777" w:rsidR="000B5799" w:rsidRPr="001243BC" w:rsidRDefault="000B5799" w:rsidP="000B5799">
      <w:pPr>
        <w:widowControl w:val="0"/>
        <w:spacing w:line="360" w:lineRule="auto"/>
        <w:ind w:firstLine="709"/>
        <w:jc w:val="both"/>
        <w:rPr>
          <w:sz w:val="28"/>
          <w:szCs w:val="28"/>
          <w:shd w:val="clear" w:color="auto" w:fill="FFFFFF"/>
          <w:lang w:val="en-US"/>
        </w:rPr>
      </w:pPr>
      <w:r w:rsidRPr="001243BC">
        <w:rPr>
          <w:sz w:val="28"/>
          <w:szCs w:val="28"/>
          <w:shd w:val="clear" w:color="auto" w:fill="FFFFFF"/>
          <w:lang w:val="en-US"/>
        </w:rPr>
        <w:t>2 Foreign trade of the Republic of Belarus // National Statistical Committee of the Republic. Belarus. [Electronic resource]. – Access mode: https://www.belstat.gov.by/upload/iblock/64e/64e4df83a3c7cc308c24c28c03b31b73.pdf/. – Date of access: 08.11.2020.</w:t>
      </w:r>
    </w:p>
    <w:p w14:paraId="05C6747D" w14:textId="77777777" w:rsidR="000B5799" w:rsidRPr="001243BC" w:rsidRDefault="000B5799" w:rsidP="000B5799">
      <w:pPr>
        <w:widowControl w:val="0"/>
        <w:spacing w:line="360" w:lineRule="auto"/>
        <w:ind w:firstLine="709"/>
        <w:jc w:val="both"/>
        <w:rPr>
          <w:sz w:val="28"/>
          <w:szCs w:val="28"/>
          <w:shd w:val="clear" w:color="auto" w:fill="FFFFFF"/>
          <w:lang w:val="en-US"/>
        </w:rPr>
      </w:pPr>
      <w:r w:rsidRPr="001243BC">
        <w:rPr>
          <w:sz w:val="28"/>
          <w:szCs w:val="28"/>
          <w:shd w:val="clear" w:color="auto" w:fill="FFFFFF"/>
          <w:lang w:val="en-US"/>
        </w:rPr>
        <w:t xml:space="preserve">3 Belarus: economic overview / Foreign trade // Official website of the </w:t>
      </w:r>
      <w:r w:rsidRPr="001243BC">
        <w:rPr>
          <w:sz w:val="28"/>
          <w:szCs w:val="28"/>
          <w:shd w:val="clear" w:color="auto" w:fill="FFFFFF"/>
          <w:lang w:val="en-US"/>
        </w:rPr>
        <w:lastRenderedPageBreak/>
        <w:t>Ministry of Finance of the Republic of Belarus. Belarus [Electronic resource]. – Access mode: http://minfin.gov.by/upload/gosdolg/vneshniy/Belarus_Macroeconomic_Snapshot_2019_rus.pdf /. – Date of access: 09.11.2020</w:t>
      </w:r>
    </w:p>
    <w:p w14:paraId="296F87F3" w14:textId="77777777" w:rsidR="000B5799" w:rsidRPr="001243BC" w:rsidRDefault="000B5799" w:rsidP="000B5799">
      <w:pPr>
        <w:widowControl w:val="0"/>
        <w:spacing w:line="360" w:lineRule="auto"/>
        <w:ind w:firstLine="709"/>
        <w:jc w:val="both"/>
        <w:rPr>
          <w:sz w:val="28"/>
          <w:szCs w:val="28"/>
          <w:shd w:val="clear" w:color="auto" w:fill="FFFFFF"/>
          <w:lang w:val="en-US"/>
        </w:rPr>
      </w:pPr>
      <w:r w:rsidRPr="001243BC">
        <w:rPr>
          <w:sz w:val="28"/>
          <w:szCs w:val="28"/>
          <w:shd w:val="clear" w:color="auto" w:fill="FFFFFF"/>
          <w:lang w:val="en-US"/>
        </w:rPr>
        <w:t>4 Main trends in the integration development of Belarus in 2019 // Directorate for analytical work of the Eurasian Development Bank [Electronic resource]. – Access mode: http://eabr.org/upload/iblock/26d/EABR_RB_06_2020_RU.pdf. – Date of access: 09.11.2020.</w:t>
      </w:r>
    </w:p>
    <w:p w14:paraId="36BF3305" w14:textId="77777777" w:rsidR="000B5799" w:rsidRPr="001243BC" w:rsidRDefault="000B5799" w:rsidP="000B5799">
      <w:pPr>
        <w:widowControl w:val="0"/>
        <w:spacing w:line="360" w:lineRule="auto"/>
        <w:ind w:firstLine="709"/>
        <w:jc w:val="both"/>
        <w:rPr>
          <w:sz w:val="28"/>
          <w:szCs w:val="28"/>
          <w:shd w:val="clear" w:color="auto" w:fill="FFFFFF"/>
          <w:lang w:val="en-US"/>
        </w:rPr>
      </w:pPr>
      <w:r w:rsidRPr="001243BC">
        <w:rPr>
          <w:sz w:val="28"/>
          <w:szCs w:val="28"/>
          <w:shd w:val="clear" w:color="auto" w:fill="FFFFFF"/>
          <w:lang w:val="en-US"/>
        </w:rPr>
        <w:t>5 Annual statistics of international trade in goods [Electronic resource]. – Access mode: https://trendeconomy.ru/data/h2/Belarus/TOTAL. – Date of access: 09.11.2020.</w:t>
      </w:r>
    </w:p>
    <w:p w14:paraId="60151411" w14:textId="77777777" w:rsidR="000B5799" w:rsidRPr="001243BC" w:rsidRDefault="000B5799" w:rsidP="000B5799">
      <w:pPr>
        <w:widowControl w:val="0"/>
        <w:spacing w:line="360" w:lineRule="auto"/>
        <w:ind w:firstLine="709"/>
        <w:jc w:val="both"/>
        <w:rPr>
          <w:sz w:val="28"/>
          <w:szCs w:val="28"/>
          <w:shd w:val="clear" w:color="auto" w:fill="FFFFFF"/>
          <w:lang w:val="en-US"/>
        </w:rPr>
      </w:pPr>
      <w:r w:rsidRPr="001243BC">
        <w:rPr>
          <w:sz w:val="28"/>
          <w:szCs w:val="28"/>
          <w:shd w:val="clear" w:color="auto" w:fill="FFFFFF"/>
          <w:lang w:val="en-US"/>
        </w:rPr>
        <w:t>6 Eurasian Economic Commission [Electronic resource]. – Access mode: http://www.eurasiancommission.org/ru/NIR/Lists/List/Attachments/161/%D0%</w:t>
      </w:r>
    </w:p>
    <w:p w14:paraId="23AFB46F" w14:textId="77777777" w:rsidR="000B5799" w:rsidRPr="001243BC" w:rsidRDefault="000B5799" w:rsidP="000B5799">
      <w:pPr>
        <w:widowControl w:val="0"/>
        <w:spacing w:line="360" w:lineRule="auto"/>
        <w:ind w:firstLine="709"/>
        <w:jc w:val="both"/>
        <w:rPr>
          <w:sz w:val="28"/>
          <w:szCs w:val="28"/>
          <w:shd w:val="clear" w:color="auto" w:fill="FFFFFF"/>
          <w:lang w:val="en-US"/>
        </w:rPr>
      </w:pPr>
      <w:r w:rsidRPr="001243BC">
        <w:rPr>
          <w:sz w:val="28"/>
          <w:szCs w:val="28"/>
          <w:shd w:val="clear" w:color="auto" w:fill="FFFFFF"/>
          <w:lang w:val="en-US"/>
        </w:rPr>
        <w:t>9E% D0% A2% D0% A7% D0% 95% D0% A2% 202% 20% D1% 8D% D1% 82% D0% B0% D0% BF% 20 (% D1% 803-6) .pdf. – Date of access: 09.11.2020.</w:t>
      </w:r>
    </w:p>
    <w:p w14:paraId="26A9BB27" w14:textId="77777777" w:rsidR="000B5799" w:rsidRPr="001243BC" w:rsidRDefault="000B5799" w:rsidP="000B5799">
      <w:pPr>
        <w:widowControl w:val="0"/>
        <w:spacing w:line="360" w:lineRule="auto"/>
        <w:ind w:firstLine="709"/>
        <w:jc w:val="both"/>
        <w:rPr>
          <w:sz w:val="28"/>
          <w:szCs w:val="28"/>
          <w:shd w:val="clear" w:color="auto" w:fill="FFFFFF"/>
          <w:lang w:val="en-US"/>
        </w:rPr>
      </w:pPr>
      <w:r w:rsidRPr="001243BC">
        <w:rPr>
          <w:sz w:val="28"/>
          <w:szCs w:val="28"/>
          <w:shd w:val="clear" w:color="auto" w:fill="FFFFFF"/>
          <w:lang w:val="en-US"/>
        </w:rPr>
        <w:t>7 According to the import substitution program in the next five-year period, the country will master the production of 260 types of new goods // Belarus today [Electronic resource]. – Access mode: https://yandex.by/turbo/sb.by/s/articles/zameshchenie-s-pritselom-na-eksport.html. – Access date: 10.11.2020.</w:t>
      </w:r>
    </w:p>
    <w:p w14:paraId="587D7CD1" w14:textId="77777777" w:rsidR="000B5799" w:rsidRPr="001243BC" w:rsidRDefault="000B5799" w:rsidP="000B5799">
      <w:pPr>
        <w:widowControl w:val="0"/>
        <w:spacing w:line="360" w:lineRule="auto"/>
        <w:ind w:firstLine="709"/>
        <w:jc w:val="both"/>
        <w:rPr>
          <w:sz w:val="28"/>
          <w:szCs w:val="28"/>
          <w:shd w:val="clear" w:color="auto" w:fill="FFFFFF"/>
          <w:lang w:val="en-US"/>
        </w:rPr>
      </w:pPr>
      <w:r w:rsidRPr="001243BC">
        <w:rPr>
          <w:sz w:val="28"/>
          <w:szCs w:val="28"/>
          <w:shd w:val="clear" w:color="auto" w:fill="FFFFFF"/>
          <w:lang w:val="en-US"/>
        </w:rPr>
        <w:t>8 The list of consumer goods offered for the development of their production, the release of import-substituting products and the development of the assortment, taking into account the market conditions in 2020 // Official website of the Ministry of Antimonopoly Regulation and Trade of the Republic. Belarus [Electronic resource]. – Access mode: https://mart.gov.by/files/live/sites/mart/files/documents/20200309</w:t>
      </w:r>
    </w:p>
    <w:p w14:paraId="612A39DC" w14:textId="77777777" w:rsidR="000B5799" w:rsidRPr="001243BC" w:rsidRDefault="000B5799" w:rsidP="000B5799">
      <w:pPr>
        <w:widowControl w:val="0"/>
        <w:spacing w:line="360" w:lineRule="auto"/>
        <w:ind w:firstLine="709"/>
        <w:jc w:val="both"/>
        <w:rPr>
          <w:sz w:val="28"/>
          <w:szCs w:val="28"/>
          <w:shd w:val="clear" w:color="auto" w:fill="FFFFFF"/>
          <w:lang w:val="en-US"/>
        </w:rPr>
      </w:pPr>
      <w:r w:rsidRPr="001243BC">
        <w:rPr>
          <w:sz w:val="28"/>
          <w:szCs w:val="28"/>
          <w:shd w:val="clear" w:color="auto" w:fill="FFFFFF"/>
          <w:lang w:val="en-US"/>
        </w:rPr>
        <w:t>_gruppa_1.pdf /. – Date of access: 08.11.2020.</w:t>
      </w:r>
    </w:p>
    <w:p w14:paraId="2BFAA841" w14:textId="77777777" w:rsidR="000B5799" w:rsidRPr="001243BC" w:rsidRDefault="000B5799" w:rsidP="000B5799">
      <w:pPr>
        <w:widowControl w:val="0"/>
        <w:spacing w:line="360" w:lineRule="auto"/>
        <w:ind w:firstLine="709"/>
        <w:jc w:val="both"/>
        <w:rPr>
          <w:sz w:val="28"/>
          <w:szCs w:val="28"/>
          <w:shd w:val="clear" w:color="auto" w:fill="FFFFFF"/>
          <w:lang w:val="en-US"/>
        </w:rPr>
      </w:pPr>
      <w:r w:rsidRPr="001243BC">
        <w:rPr>
          <w:sz w:val="28"/>
          <w:szCs w:val="28"/>
          <w:shd w:val="clear" w:color="auto" w:fill="FFFFFF"/>
          <w:lang w:val="en-US"/>
        </w:rPr>
        <w:t xml:space="preserve">9 The list of consumer goods offered for the development of their production, the release of import-substituting products and the development of the assortment, </w:t>
      </w:r>
      <w:r w:rsidRPr="001243BC">
        <w:rPr>
          <w:sz w:val="28"/>
          <w:szCs w:val="28"/>
          <w:shd w:val="clear" w:color="auto" w:fill="FFFFFF"/>
          <w:lang w:val="en-US"/>
        </w:rPr>
        <w:lastRenderedPageBreak/>
        <w:t xml:space="preserve">taking into account the market conditions in 2020 // Official website of the Ministry of Antimonopoly Regulation and Trade of the Republic. Belarus [Electronic resource]. – Access mode: </w:t>
      </w:r>
      <w:hyperlink r:id="rId6" w:history="1">
        <w:r w:rsidRPr="001243BC">
          <w:rPr>
            <w:rStyle w:val="a9"/>
            <w:sz w:val="28"/>
            <w:szCs w:val="28"/>
            <w:shd w:val="clear" w:color="auto" w:fill="FFFFFF"/>
            <w:lang w:val="en-US"/>
          </w:rPr>
          <w:t>https://mart.gov.by/files/live/sites/mart/files/documents/20200309</w:t>
        </w:r>
      </w:hyperlink>
      <w:r w:rsidRPr="001243BC">
        <w:rPr>
          <w:sz w:val="28"/>
          <w:szCs w:val="28"/>
          <w:shd w:val="clear" w:color="auto" w:fill="FFFFFF"/>
          <w:lang w:val="en-US"/>
        </w:rPr>
        <w:t xml:space="preserve"> _gruppa_2.pdf /. – Date of access: 08.11.2020.</w:t>
      </w:r>
    </w:p>
    <w:p w14:paraId="4A159EB4" w14:textId="77777777" w:rsidR="000B5799" w:rsidRPr="001243BC" w:rsidRDefault="000B5799" w:rsidP="000B5799">
      <w:pPr>
        <w:widowControl w:val="0"/>
        <w:spacing w:line="360" w:lineRule="auto"/>
        <w:ind w:firstLine="709"/>
        <w:jc w:val="both"/>
        <w:rPr>
          <w:sz w:val="28"/>
          <w:szCs w:val="28"/>
          <w:shd w:val="clear" w:color="auto" w:fill="FFFFFF"/>
          <w:lang w:val="en-US"/>
        </w:rPr>
      </w:pPr>
      <w:r w:rsidRPr="001243BC">
        <w:rPr>
          <w:sz w:val="28"/>
          <w:szCs w:val="28"/>
          <w:shd w:val="clear" w:color="auto" w:fill="FFFFFF"/>
          <w:lang w:val="en-US"/>
        </w:rPr>
        <w:t>10 Ideas for import substitution // Official website of the Ministry of Economy of the Republic. Belarus [Electronic resource]. – Access mode: http://www.economy.gov.by/ru/idei_importozames-ru /. – Date of access: 09.11.2020.</w:t>
      </w:r>
    </w:p>
    <w:p w14:paraId="3A76381B" w14:textId="77777777" w:rsidR="000B5799" w:rsidRPr="001243BC" w:rsidRDefault="000B5799" w:rsidP="000B5799">
      <w:pPr>
        <w:widowControl w:val="0"/>
        <w:spacing w:line="360" w:lineRule="auto"/>
        <w:ind w:firstLine="709"/>
        <w:jc w:val="both"/>
        <w:rPr>
          <w:sz w:val="28"/>
          <w:szCs w:val="28"/>
          <w:shd w:val="clear" w:color="auto" w:fill="FFFFFF"/>
          <w:lang w:val="en-US"/>
        </w:rPr>
      </w:pPr>
      <w:r w:rsidRPr="001243BC">
        <w:rPr>
          <w:sz w:val="28"/>
          <w:szCs w:val="28"/>
          <w:shd w:val="clear" w:color="auto" w:fill="FFFFFF"/>
          <w:lang w:val="en-US"/>
        </w:rPr>
        <w:t>11 Urish, I.V. Assessment of the state and change in the development directions of foreign trade in goods of the Republic of Belarus / I.V. Urish, S.V. Stasyukevich, O. Yu. Ostaltseva // Scientific works of the Belarusian State Economic University. – Minsk: BSEU, 2019. – Issue 12. – S. 423–430.</w:t>
      </w:r>
    </w:p>
    <w:p w14:paraId="6453400B" w14:textId="77777777" w:rsidR="000B5799" w:rsidRPr="001243BC" w:rsidRDefault="000B5799" w:rsidP="000B5799">
      <w:pPr>
        <w:widowControl w:val="0"/>
        <w:spacing w:line="360" w:lineRule="auto"/>
        <w:ind w:firstLine="709"/>
        <w:jc w:val="both"/>
        <w:rPr>
          <w:sz w:val="28"/>
          <w:szCs w:val="28"/>
          <w:shd w:val="clear" w:color="auto" w:fill="FFFFFF"/>
          <w:lang w:val="en-US"/>
        </w:rPr>
      </w:pPr>
      <w:r w:rsidRPr="001243BC">
        <w:rPr>
          <w:sz w:val="28"/>
          <w:szCs w:val="28"/>
          <w:shd w:val="clear" w:color="auto" w:fill="FFFFFF"/>
          <w:lang w:val="en-US"/>
        </w:rPr>
        <w:t>12 Import substitution // Official website of the Ministry of Industry of the Republic. Belarus [Electronic resource]. – Access mode: https://minprom.gov.by/importozameshhenie/. – Date of access: 09.11.2020.</w:t>
      </w:r>
    </w:p>
    <w:p w14:paraId="68CCD6D6" w14:textId="77777777" w:rsidR="000B5799" w:rsidRPr="001243BC" w:rsidRDefault="000B5799" w:rsidP="000B5799">
      <w:pPr>
        <w:widowControl w:val="0"/>
        <w:spacing w:line="360" w:lineRule="auto"/>
        <w:ind w:firstLine="709"/>
        <w:jc w:val="both"/>
        <w:rPr>
          <w:sz w:val="28"/>
          <w:szCs w:val="28"/>
          <w:shd w:val="clear" w:color="auto" w:fill="FFFFFF"/>
          <w:lang w:val="en-US"/>
        </w:rPr>
      </w:pPr>
      <w:r w:rsidRPr="001243BC">
        <w:rPr>
          <w:sz w:val="28"/>
          <w:szCs w:val="28"/>
          <w:shd w:val="clear" w:color="auto" w:fill="FFFFFF"/>
          <w:lang w:val="en-US"/>
        </w:rPr>
        <w:t>13 Import substitution // Official site of the Belarusian State Concern for the production and sale of light industry goods Rep. Belarus [Electronic resource]. – Access mode: http://www.bellegprom.by/docs/perechen_tovarov_dlya_osvoeniya.pdf/. – Date of access: 10.11.2020.</w:t>
      </w:r>
    </w:p>
    <w:p w14:paraId="155ABEB7" w14:textId="77777777" w:rsidR="000B5799" w:rsidRPr="000B5799" w:rsidRDefault="000B5799" w:rsidP="000B5799">
      <w:pPr>
        <w:widowControl w:val="0"/>
        <w:spacing w:line="360" w:lineRule="auto"/>
        <w:ind w:firstLine="709"/>
        <w:jc w:val="both"/>
        <w:rPr>
          <w:sz w:val="28"/>
          <w:szCs w:val="28"/>
          <w:shd w:val="clear" w:color="auto" w:fill="FFFFFF"/>
        </w:rPr>
      </w:pPr>
      <w:r w:rsidRPr="001243BC">
        <w:rPr>
          <w:sz w:val="28"/>
          <w:szCs w:val="28"/>
          <w:shd w:val="clear" w:color="auto" w:fill="FFFFFF"/>
          <w:lang w:val="en-US"/>
        </w:rPr>
        <w:t xml:space="preserve">14 Consumed imports // Official site of the Belarusian production and trade concern of the timber, woodworking and pulp and paper industry Resp. Belarus [Electronic resource]. – Access mode: http://www.bellesbumprom.by/ru/produktsiya/prochaya/. – Access date: 10.11. </w:t>
      </w:r>
      <w:r w:rsidRPr="000B5799">
        <w:rPr>
          <w:sz w:val="28"/>
          <w:szCs w:val="28"/>
          <w:shd w:val="clear" w:color="auto" w:fill="FFFFFF"/>
        </w:rPr>
        <w:t>2020.</w:t>
      </w:r>
    </w:p>
    <w:p w14:paraId="55532654" w14:textId="77777777" w:rsidR="000B5799" w:rsidRPr="000B5799" w:rsidRDefault="000B5799" w:rsidP="000B5799">
      <w:pPr>
        <w:widowControl w:val="0"/>
        <w:spacing w:line="360" w:lineRule="auto"/>
        <w:ind w:firstLine="709"/>
        <w:jc w:val="both"/>
        <w:rPr>
          <w:sz w:val="28"/>
          <w:szCs w:val="28"/>
          <w:shd w:val="clear" w:color="auto" w:fill="FFFFFF"/>
        </w:rPr>
      </w:pPr>
    </w:p>
    <w:p w14:paraId="71F25907" w14:textId="77777777" w:rsidR="000B5799" w:rsidRPr="001243BC" w:rsidRDefault="000B5799" w:rsidP="000B5799">
      <w:pPr>
        <w:widowControl w:val="0"/>
        <w:spacing w:line="276" w:lineRule="auto"/>
        <w:jc w:val="center"/>
        <w:rPr>
          <w:b/>
          <w:sz w:val="28"/>
          <w:szCs w:val="28"/>
        </w:rPr>
      </w:pPr>
    </w:p>
    <w:p w14:paraId="794E4CB0" w14:textId="77777777" w:rsidR="000B5799" w:rsidRPr="001243BC" w:rsidRDefault="000B5799" w:rsidP="000B5799">
      <w:pPr>
        <w:widowControl w:val="0"/>
        <w:spacing w:line="276" w:lineRule="auto"/>
        <w:jc w:val="center"/>
        <w:rPr>
          <w:b/>
          <w:sz w:val="28"/>
          <w:szCs w:val="28"/>
        </w:rPr>
      </w:pPr>
      <w:r w:rsidRPr="001243BC">
        <w:rPr>
          <w:b/>
          <w:sz w:val="28"/>
          <w:szCs w:val="28"/>
        </w:rPr>
        <w:t>ЛИТЕРАТУРА</w:t>
      </w:r>
    </w:p>
    <w:p w14:paraId="4BE0F28C" w14:textId="77777777" w:rsidR="000B5799" w:rsidRPr="001243BC" w:rsidRDefault="000B5799" w:rsidP="000B5799">
      <w:pPr>
        <w:spacing w:line="360" w:lineRule="auto"/>
        <w:ind w:firstLine="709"/>
        <w:jc w:val="both"/>
        <w:rPr>
          <w:sz w:val="28"/>
          <w:szCs w:val="28"/>
        </w:rPr>
      </w:pPr>
    </w:p>
    <w:p w14:paraId="0FC5D362" w14:textId="77777777" w:rsidR="000B5799" w:rsidRPr="001243BC" w:rsidRDefault="000B5799" w:rsidP="000B5799">
      <w:pPr>
        <w:spacing w:line="360" w:lineRule="auto"/>
        <w:ind w:firstLine="709"/>
        <w:jc w:val="both"/>
        <w:rPr>
          <w:sz w:val="28"/>
          <w:szCs w:val="28"/>
        </w:rPr>
      </w:pPr>
      <w:r w:rsidRPr="001243BC">
        <w:rPr>
          <w:sz w:val="28"/>
          <w:szCs w:val="28"/>
        </w:rPr>
        <w:lastRenderedPageBreak/>
        <w:t>1 Общая информация о внешней торговли: направления, задачи, итоги за актуальный период // Официальный сайт Министерства иностранных дел Респ. Беларусь [Электронный ресурс]. – Режим доступа: https://mfa.gov.by/export/foreign_trade /. – Дата доступа: 08.11.2020.</w:t>
      </w:r>
    </w:p>
    <w:p w14:paraId="334B0702" w14:textId="77777777" w:rsidR="000B5799" w:rsidRPr="001243BC" w:rsidRDefault="000B5799" w:rsidP="000B5799">
      <w:pPr>
        <w:spacing w:line="360" w:lineRule="auto"/>
        <w:ind w:firstLine="709"/>
        <w:jc w:val="both"/>
        <w:rPr>
          <w:sz w:val="28"/>
          <w:szCs w:val="28"/>
        </w:rPr>
      </w:pPr>
      <w:r w:rsidRPr="001243BC">
        <w:rPr>
          <w:sz w:val="28"/>
          <w:szCs w:val="28"/>
        </w:rPr>
        <w:t>2 Внешняя торговля Республики Беларусь // Национальный статистический комитет Респ. Беларусь. [Электронный ресурс]. – Режим доступа: https://www.belstat.gov.by/upload/iblock/64e/64e4df83a3c7cc308c24c28c03b31b73.pdf/. – Дата доступа: 08.11.2020.</w:t>
      </w:r>
    </w:p>
    <w:p w14:paraId="6058983D" w14:textId="77777777" w:rsidR="000B5799" w:rsidRPr="001243BC" w:rsidRDefault="000B5799" w:rsidP="000B5799">
      <w:pPr>
        <w:spacing w:line="360" w:lineRule="auto"/>
        <w:ind w:firstLine="709"/>
        <w:jc w:val="both"/>
        <w:rPr>
          <w:sz w:val="28"/>
          <w:szCs w:val="28"/>
        </w:rPr>
      </w:pPr>
      <w:r w:rsidRPr="001243BC">
        <w:rPr>
          <w:sz w:val="28"/>
          <w:szCs w:val="28"/>
        </w:rPr>
        <w:t>3 Беларусь: экономический обзор / Внешняя торговля // Официальный сайт Министерства финансов Респ. Беларусь [Электронный ресурс]. – Режим доступа: http://minfin.gov.by/upload/gosdolg/vneshniy/Belarus_Macroeconomic_Snapshot_2019_rus.pdf /. – Дата доступа: 09.11.2020.</w:t>
      </w:r>
    </w:p>
    <w:p w14:paraId="41D5450F" w14:textId="77777777" w:rsidR="000B5799" w:rsidRPr="001243BC" w:rsidRDefault="000B5799" w:rsidP="000B5799">
      <w:pPr>
        <w:spacing w:line="360" w:lineRule="auto"/>
        <w:ind w:firstLine="709"/>
        <w:jc w:val="both"/>
        <w:rPr>
          <w:sz w:val="28"/>
          <w:szCs w:val="28"/>
        </w:rPr>
      </w:pPr>
      <w:r w:rsidRPr="001243BC">
        <w:rPr>
          <w:sz w:val="28"/>
          <w:szCs w:val="28"/>
        </w:rPr>
        <w:t>4 Основные тенденции интеграционного развития Беларуси в 2019 г.// Дирекция по аналитической работе Евразийского Банка Развития [Электронный ресурс]. – Режим доступа: http://eabr.org/upload/iblock/26d/EABR_RB_06_2020_RU.pdf. – Дата доступа: 09.11.2020.</w:t>
      </w:r>
    </w:p>
    <w:p w14:paraId="2DC735AE" w14:textId="77777777" w:rsidR="000B5799" w:rsidRPr="001243BC" w:rsidRDefault="000B5799" w:rsidP="000B5799">
      <w:pPr>
        <w:spacing w:line="360" w:lineRule="auto"/>
        <w:ind w:firstLine="709"/>
        <w:jc w:val="both"/>
        <w:rPr>
          <w:sz w:val="28"/>
          <w:szCs w:val="28"/>
        </w:rPr>
      </w:pPr>
      <w:r w:rsidRPr="001243BC">
        <w:rPr>
          <w:sz w:val="28"/>
          <w:szCs w:val="28"/>
        </w:rPr>
        <w:t>5 Годовая статистика международной торговли товарами [Электронный ресурс]. – Режим доступа: https://trendeconomy.ru/data/h2/Belarus/TOTAL. – Дата доступа: 09.11.2020.</w:t>
      </w:r>
    </w:p>
    <w:p w14:paraId="4E6316E6" w14:textId="77777777" w:rsidR="000B5799" w:rsidRPr="001243BC" w:rsidRDefault="000B5799" w:rsidP="000B5799">
      <w:pPr>
        <w:spacing w:line="360" w:lineRule="auto"/>
        <w:ind w:firstLine="709"/>
        <w:jc w:val="both"/>
        <w:rPr>
          <w:sz w:val="28"/>
          <w:szCs w:val="28"/>
        </w:rPr>
      </w:pPr>
      <w:r w:rsidRPr="001243BC">
        <w:rPr>
          <w:sz w:val="28"/>
          <w:szCs w:val="28"/>
        </w:rPr>
        <w:t xml:space="preserve">6 Евразийская экономическая комиссия [Электронный ресурс]. – Режим доступа: </w:t>
      </w:r>
      <w:hyperlink r:id="rId7" w:history="1">
        <w:r w:rsidRPr="001243BC">
          <w:rPr>
            <w:rStyle w:val="a9"/>
            <w:sz w:val="28"/>
            <w:szCs w:val="28"/>
          </w:rPr>
          <w:t>http://www.eurasiancommission.org/ru/NIR/Lists/List/Attachments/161/%</w:t>
        </w:r>
        <w:r w:rsidRPr="001243BC">
          <w:rPr>
            <w:rStyle w:val="a9"/>
            <w:sz w:val="28"/>
            <w:szCs w:val="28"/>
            <w:lang w:val="en-US"/>
          </w:rPr>
          <w:t>D</w:t>
        </w:r>
        <w:r w:rsidRPr="001243BC">
          <w:rPr>
            <w:rStyle w:val="a9"/>
            <w:sz w:val="28"/>
            <w:szCs w:val="28"/>
          </w:rPr>
          <w:t>0%</w:t>
        </w:r>
      </w:hyperlink>
    </w:p>
    <w:p w14:paraId="4A72425B" w14:textId="77777777" w:rsidR="000B5799" w:rsidRPr="001243BC" w:rsidRDefault="000B5799" w:rsidP="000B5799">
      <w:pPr>
        <w:spacing w:line="360" w:lineRule="auto"/>
        <w:ind w:firstLine="709"/>
        <w:jc w:val="both"/>
        <w:rPr>
          <w:sz w:val="28"/>
          <w:szCs w:val="28"/>
          <w:lang w:val="en-US"/>
        </w:rPr>
      </w:pPr>
      <w:r w:rsidRPr="001243BC">
        <w:rPr>
          <w:sz w:val="28"/>
          <w:szCs w:val="28"/>
          <w:lang w:val="en-US"/>
        </w:rPr>
        <w:t xml:space="preserve">9E%D0%A2%D0%A7%D0%95%D0%A2%202%20%D1%8D%D1%82%D0%B0%D0%BF%20(%D1%803-6).pdf. – </w:t>
      </w:r>
      <w:r w:rsidRPr="001243BC">
        <w:rPr>
          <w:sz w:val="28"/>
          <w:szCs w:val="28"/>
        </w:rPr>
        <w:t>Дата</w:t>
      </w:r>
      <w:r w:rsidRPr="001243BC">
        <w:rPr>
          <w:sz w:val="28"/>
          <w:szCs w:val="28"/>
          <w:lang w:val="en-US"/>
        </w:rPr>
        <w:t xml:space="preserve"> </w:t>
      </w:r>
      <w:r w:rsidRPr="001243BC">
        <w:rPr>
          <w:sz w:val="28"/>
          <w:szCs w:val="28"/>
        </w:rPr>
        <w:t>доступа</w:t>
      </w:r>
      <w:r w:rsidRPr="001243BC">
        <w:rPr>
          <w:sz w:val="28"/>
          <w:szCs w:val="28"/>
          <w:lang w:val="en-US"/>
        </w:rPr>
        <w:t>: 09.11.2020.</w:t>
      </w:r>
    </w:p>
    <w:p w14:paraId="1C687DDE" w14:textId="77777777" w:rsidR="000B5799" w:rsidRPr="001243BC" w:rsidRDefault="000B5799" w:rsidP="000B5799">
      <w:pPr>
        <w:spacing w:line="360" w:lineRule="auto"/>
        <w:ind w:firstLine="709"/>
        <w:jc w:val="both"/>
        <w:rPr>
          <w:sz w:val="28"/>
          <w:szCs w:val="28"/>
        </w:rPr>
      </w:pPr>
      <w:r w:rsidRPr="001243BC">
        <w:rPr>
          <w:sz w:val="28"/>
          <w:szCs w:val="28"/>
        </w:rPr>
        <w:t xml:space="preserve">7 По программе импортозамещения в следующей пятилетке в стране будет освоен выпуск 260 видов новых товаров // Беларусь сегодня  [Электронный ресурс]. – Режим доступа:  </w:t>
      </w:r>
      <w:r w:rsidRPr="001243BC">
        <w:rPr>
          <w:sz w:val="28"/>
          <w:szCs w:val="28"/>
          <w:lang w:val="en-US"/>
        </w:rPr>
        <w:lastRenderedPageBreak/>
        <w:t>https</w:t>
      </w:r>
      <w:r w:rsidRPr="001243BC">
        <w:rPr>
          <w:sz w:val="28"/>
          <w:szCs w:val="28"/>
        </w:rPr>
        <w:t>://</w:t>
      </w:r>
      <w:r w:rsidRPr="001243BC">
        <w:rPr>
          <w:sz w:val="28"/>
          <w:szCs w:val="28"/>
          <w:lang w:val="en-US"/>
        </w:rPr>
        <w:t>yandex</w:t>
      </w:r>
      <w:r w:rsidRPr="001243BC">
        <w:rPr>
          <w:sz w:val="28"/>
          <w:szCs w:val="28"/>
        </w:rPr>
        <w:t>.</w:t>
      </w:r>
      <w:r w:rsidRPr="001243BC">
        <w:rPr>
          <w:sz w:val="28"/>
          <w:szCs w:val="28"/>
          <w:lang w:val="en-US"/>
        </w:rPr>
        <w:t>by</w:t>
      </w:r>
      <w:r w:rsidRPr="001243BC">
        <w:rPr>
          <w:sz w:val="28"/>
          <w:szCs w:val="28"/>
        </w:rPr>
        <w:t>/</w:t>
      </w:r>
      <w:r w:rsidRPr="001243BC">
        <w:rPr>
          <w:sz w:val="28"/>
          <w:szCs w:val="28"/>
          <w:lang w:val="en-US"/>
        </w:rPr>
        <w:t>turbo</w:t>
      </w:r>
      <w:r w:rsidRPr="001243BC">
        <w:rPr>
          <w:sz w:val="28"/>
          <w:szCs w:val="28"/>
        </w:rPr>
        <w:t>/</w:t>
      </w:r>
      <w:r w:rsidRPr="001243BC">
        <w:rPr>
          <w:sz w:val="28"/>
          <w:szCs w:val="28"/>
          <w:lang w:val="en-US"/>
        </w:rPr>
        <w:t>sb</w:t>
      </w:r>
      <w:r w:rsidRPr="001243BC">
        <w:rPr>
          <w:sz w:val="28"/>
          <w:szCs w:val="28"/>
        </w:rPr>
        <w:t>.</w:t>
      </w:r>
      <w:r w:rsidRPr="001243BC">
        <w:rPr>
          <w:sz w:val="28"/>
          <w:szCs w:val="28"/>
          <w:lang w:val="en-US"/>
        </w:rPr>
        <w:t>by</w:t>
      </w:r>
      <w:r w:rsidRPr="001243BC">
        <w:rPr>
          <w:sz w:val="28"/>
          <w:szCs w:val="28"/>
        </w:rPr>
        <w:t>/</w:t>
      </w:r>
      <w:r w:rsidRPr="001243BC">
        <w:rPr>
          <w:sz w:val="28"/>
          <w:szCs w:val="28"/>
          <w:lang w:val="en-US"/>
        </w:rPr>
        <w:t>s</w:t>
      </w:r>
      <w:r w:rsidRPr="001243BC">
        <w:rPr>
          <w:sz w:val="28"/>
          <w:szCs w:val="28"/>
        </w:rPr>
        <w:t>/</w:t>
      </w:r>
      <w:r w:rsidRPr="001243BC">
        <w:rPr>
          <w:sz w:val="28"/>
          <w:szCs w:val="28"/>
          <w:lang w:val="en-US"/>
        </w:rPr>
        <w:t>articles</w:t>
      </w:r>
      <w:r w:rsidRPr="001243BC">
        <w:rPr>
          <w:sz w:val="28"/>
          <w:szCs w:val="28"/>
        </w:rPr>
        <w:t>/</w:t>
      </w:r>
      <w:r w:rsidRPr="001243BC">
        <w:rPr>
          <w:sz w:val="28"/>
          <w:szCs w:val="28"/>
          <w:lang w:val="en-US"/>
        </w:rPr>
        <w:t>zameshchenie</w:t>
      </w:r>
      <w:r w:rsidRPr="001243BC">
        <w:rPr>
          <w:sz w:val="28"/>
          <w:szCs w:val="28"/>
        </w:rPr>
        <w:t>-</w:t>
      </w:r>
      <w:r w:rsidRPr="001243BC">
        <w:rPr>
          <w:sz w:val="28"/>
          <w:szCs w:val="28"/>
          <w:lang w:val="en-US"/>
        </w:rPr>
        <w:t>s</w:t>
      </w:r>
      <w:r w:rsidRPr="001243BC">
        <w:rPr>
          <w:sz w:val="28"/>
          <w:szCs w:val="28"/>
        </w:rPr>
        <w:t>-</w:t>
      </w:r>
      <w:r w:rsidRPr="001243BC">
        <w:rPr>
          <w:sz w:val="28"/>
          <w:szCs w:val="28"/>
          <w:lang w:val="en-US"/>
        </w:rPr>
        <w:t>pritselom</w:t>
      </w:r>
      <w:r w:rsidRPr="001243BC">
        <w:rPr>
          <w:sz w:val="28"/>
          <w:szCs w:val="28"/>
        </w:rPr>
        <w:t>-</w:t>
      </w:r>
      <w:r w:rsidRPr="001243BC">
        <w:rPr>
          <w:sz w:val="28"/>
          <w:szCs w:val="28"/>
          <w:lang w:val="en-US"/>
        </w:rPr>
        <w:t>na</w:t>
      </w:r>
      <w:r w:rsidRPr="001243BC">
        <w:rPr>
          <w:sz w:val="28"/>
          <w:szCs w:val="28"/>
        </w:rPr>
        <w:t>-</w:t>
      </w:r>
      <w:r w:rsidRPr="001243BC">
        <w:rPr>
          <w:sz w:val="28"/>
          <w:szCs w:val="28"/>
          <w:lang w:val="en-US"/>
        </w:rPr>
        <w:t>eksport</w:t>
      </w:r>
      <w:r w:rsidRPr="001243BC">
        <w:rPr>
          <w:sz w:val="28"/>
          <w:szCs w:val="28"/>
        </w:rPr>
        <w:t>.</w:t>
      </w:r>
      <w:r w:rsidRPr="001243BC">
        <w:rPr>
          <w:sz w:val="28"/>
          <w:szCs w:val="28"/>
          <w:lang w:val="en-US"/>
        </w:rPr>
        <w:t>html</w:t>
      </w:r>
      <w:r w:rsidRPr="001243BC">
        <w:rPr>
          <w:sz w:val="28"/>
          <w:szCs w:val="28"/>
        </w:rPr>
        <w:t>. – Дата доступа: 10.11.2020.</w:t>
      </w:r>
    </w:p>
    <w:p w14:paraId="6FB17B32" w14:textId="77777777" w:rsidR="000B5799" w:rsidRPr="001243BC" w:rsidRDefault="000B5799" w:rsidP="000B5799">
      <w:pPr>
        <w:spacing w:line="360" w:lineRule="auto"/>
        <w:ind w:firstLine="709"/>
        <w:jc w:val="both"/>
        <w:rPr>
          <w:sz w:val="28"/>
          <w:szCs w:val="28"/>
        </w:rPr>
      </w:pPr>
      <w:r w:rsidRPr="001243BC">
        <w:rPr>
          <w:sz w:val="28"/>
          <w:szCs w:val="28"/>
        </w:rPr>
        <w:t xml:space="preserve">8 Перечень потребительских товаров, предлагаемых для освоения их производства, выпуска импортозамещающей продукции и развития ассортимента с учетом конъюнктуры рынка в 2020 году // Официальный сайт Министерства антимонопольного регулирования и торговли Респ. Беларусь [Электронный ресурс]. – Режим доступа: </w:t>
      </w:r>
      <w:hyperlink r:id="rId8" w:history="1">
        <w:r w:rsidRPr="001243BC">
          <w:rPr>
            <w:rStyle w:val="a9"/>
            <w:sz w:val="28"/>
            <w:szCs w:val="28"/>
          </w:rPr>
          <w:t>https://mart.gov.by/files/live/sites/mart/files/documents/20200309</w:t>
        </w:r>
      </w:hyperlink>
    </w:p>
    <w:p w14:paraId="06D02D4C" w14:textId="77777777" w:rsidR="000B5799" w:rsidRPr="001243BC" w:rsidRDefault="000B5799" w:rsidP="000B5799">
      <w:pPr>
        <w:spacing w:line="360" w:lineRule="auto"/>
        <w:ind w:firstLine="142"/>
        <w:jc w:val="both"/>
        <w:rPr>
          <w:sz w:val="28"/>
          <w:szCs w:val="28"/>
        </w:rPr>
      </w:pPr>
      <w:r w:rsidRPr="001243BC">
        <w:rPr>
          <w:sz w:val="28"/>
          <w:szCs w:val="28"/>
        </w:rPr>
        <w:t>_gruppa_1.pdf /. – Дата доступа: 08.11.2020.</w:t>
      </w:r>
    </w:p>
    <w:p w14:paraId="7B666119" w14:textId="77777777" w:rsidR="000B5799" w:rsidRPr="001243BC" w:rsidRDefault="000B5799" w:rsidP="000B5799">
      <w:pPr>
        <w:spacing w:line="360" w:lineRule="auto"/>
        <w:ind w:firstLine="709"/>
        <w:jc w:val="both"/>
        <w:rPr>
          <w:sz w:val="28"/>
          <w:szCs w:val="28"/>
        </w:rPr>
      </w:pPr>
      <w:r w:rsidRPr="001243BC">
        <w:rPr>
          <w:sz w:val="28"/>
          <w:szCs w:val="28"/>
        </w:rPr>
        <w:t xml:space="preserve">9 Перечень потребительских товаров, предлагаемых для освоения их производства, выпуска импортозамещающей продукции и развития ассортимента с учетом конъюнктуры рынка в 2020 году // Официальный сайт Министерства антимонопольного регулирования и торговли Респ. Беларусь [Электронный ресурс]. – Режим доступа: </w:t>
      </w:r>
      <w:hyperlink r:id="rId9" w:history="1">
        <w:r w:rsidRPr="001243BC">
          <w:rPr>
            <w:rStyle w:val="a9"/>
            <w:sz w:val="28"/>
            <w:szCs w:val="28"/>
          </w:rPr>
          <w:t>https://mart.gov.by/files/live/sites/mart/files/documents/20200309</w:t>
        </w:r>
      </w:hyperlink>
    </w:p>
    <w:p w14:paraId="21A7E788" w14:textId="77777777" w:rsidR="000B5799" w:rsidRPr="001243BC" w:rsidRDefault="000B5799" w:rsidP="000B5799">
      <w:pPr>
        <w:spacing w:line="360" w:lineRule="auto"/>
        <w:ind w:firstLine="709"/>
        <w:jc w:val="both"/>
        <w:rPr>
          <w:sz w:val="28"/>
          <w:szCs w:val="28"/>
        </w:rPr>
      </w:pPr>
      <w:r w:rsidRPr="001243BC">
        <w:rPr>
          <w:sz w:val="28"/>
          <w:szCs w:val="28"/>
        </w:rPr>
        <w:t>_gruppa_2.pdf /. – Дата доступа: 08.11.2020.</w:t>
      </w:r>
    </w:p>
    <w:p w14:paraId="416A122A" w14:textId="77777777" w:rsidR="000B5799" w:rsidRPr="001243BC" w:rsidRDefault="000B5799" w:rsidP="000B5799">
      <w:pPr>
        <w:spacing w:line="360" w:lineRule="auto"/>
        <w:ind w:firstLine="709"/>
        <w:jc w:val="both"/>
        <w:rPr>
          <w:sz w:val="28"/>
          <w:szCs w:val="28"/>
        </w:rPr>
      </w:pPr>
      <w:r w:rsidRPr="001243BC">
        <w:rPr>
          <w:sz w:val="28"/>
          <w:szCs w:val="28"/>
        </w:rPr>
        <w:t xml:space="preserve">10 Идеи для импортозамещения// Официальный сайт Министерства экономики Респ. Беларусь [Электронный ресурс]. – Режим доступа: </w:t>
      </w:r>
      <w:hyperlink r:id="rId10" w:history="1">
        <w:r w:rsidRPr="001243BC">
          <w:rPr>
            <w:rStyle w:val="a9"/>
            <w:sz w:val="28"/>
            <w:szCs w:val="28"/>
          </w:rPr>
          <w:t>http://www.economy.gov.by/ru/idei_importozames-ru</w:t>
        </w:r>
      </w:hyperlink>
      <w:r w:rsidRPr="001243BC">
        <w:rPr>
          <w:sz w:val="28"/>
          <w:szCs w:val="28"/>
        </w:rPr>
        <w:t xml:space="preserve"> /. – Дата доступа: 09.11.2020.</w:t>
      </w:r>
    </w:p>
    <w:p w14:paraId="1D47B338" w14:textId="77777777" w:rsidR="000B5799" w:rsidRPr="001243BC" w:rsidRDefault="000B5799" w:rsidP="000B5799">
      <w:pPr>
        <w:spacing w:line="360" w:lineRule="auto"/>
        <w:ind w:firstLine="709"/>
        <w:jc w:val="both"/>
        <w:rPr>
          <w:sz w:val="28"/>
          <w:szCs w:val="28"/>
        </w:rPr>
      </w:pPr>
      <w:r w:rsidRPr="001243BC">
        <w:rPr>
          <w:sz w:val="28"/>
          <w:szCs w:val="28"/>
        </w:rPr>
        <w:t>11 Уриш, И.В. Оценка состояния и изменение направлений развития внешней торговли товарами Республики Беларусь / И.В. Уриш, С.В. Стасюкевич, О.Ю. Остальцева // Научные труды Белорусского государственного экономического университета. — Минск: БГЭУ, 2019. — Вып.12. — С.423-430.</w:t>
      </w:r>
    </w:p>
    <w:p w14:paraId="62B33CA4" w14:textId="77777777" w:rsidR="000B5799" w:rsidRPr="001243BC" w:rsidRDefault="000B5799" w:rsidP="000B5799">
      <w:pPr>
        <w:spacing w:line="360" w:lineRule="auto"/>
        <w:ind w:firstLine="709"/>
        <w:jc w:val="both"/>
        <w:rPr>
          <w:sz w:val="28"/>
          <w:szCs w:val="28"/>
        </w:rPr>
      </w:pPr>
      <w:r w:rsidRPr="001243BC">
        <w:rPr>
          <w:sz w:val="28"/>
          <w:szCs w:val="28"/>
        </w:rPr>
        <w:t>12 Импортозамещение // Официальный сайт Министерства промышленности Респ. Беларусь [Электронный ресурс]. – Режим доступа: https://minprom.gov.by/importozameshhenie/. – Дата доступа: 09.11.2020.</w:t>
      </w:r>
    </w:p>
    <w:p w14:paraId="112A3C7E" w14:textId="77777777" w:rsidR="000B5799" w:rsidRPr="001243BC" w:rsidRDefault="000B5799" w:rsidP="000B5799">
      <w:pPr>
        <w:spacing w:line="360" w:lineRule="auto"/>
        <w:ind w:firstLine="709"/>
        <w:jc w:val="both"/>
        <w:rPr>
          <w:sz w:val="28"/>
          <w:szCs w:val="28"/>
        </w:rPr>
      </w:pPr>
      <w:r w:rsidRPr="001243BC">
        <w:rPr>
          <w:sz w:val="28"/>
          <w:szCs w:val="28"/>
        </w:rPr>
        <w:t xml:space="preserve">13 Импортозамещение // Официальный сайт Белорусского государственного концерна по производству и реализации товаров легкой </w:t>
      </w:r>
      <w:r w:rsidRPr="001243BC">
        <w:rPr>
          <w:sz w:val="28"/>
          <w:szCs w:val="28"/>
        </w:rPr>
        <w:lastRenderedPageBreak/>
        <w:t>промышленности Респ. Беларусь [Электронный ресурс]. – Режим доступа: http://www.bellegprom.by/docs/perechen_tovarov_dlya_osvoeniya.pdf/. – Дата доступа: 10.11.2020.</w:t>
      </w:r>
    </w:p>
    <w:p w14:paraId="1C5F6A3E" w14:textId="77777777" w:rsidR="000B5799" w:rsidRPr="001243BC" w:rsidRDefault="000B5799" w:rsidP="000B5799">
      <w:pPr>
        <w:spacing w:line="360" w:lineRule="auto"/>
        <w:ind w:firstLine="709"/>
        <w:jc w:val="both"/>
        <w:rPr>
          <w:sz w:val="28"/>
          <w:szCs w:val="28"/>
        </w:rPr>
      </w:pPr>
      <w:r w:rsidRPr="001243BC">
        <w:rPr>
          <w:sz w:val="28"/>
          <w:szCs w:val="28"/>
        </w:rPr>
        <w:t>14 Потребляемый импорт // Официальный сайт Белорусского производственно-торгового концерна лесной, деревообрабатывающей и целлюлозно-бумажной  промышленности Респ. Беларусь [Электронный ресурс]. – Режим доступа: http://www.bellesbumprom.by/ru/produktsiya/prochaya/. – Дата доступа: 10.11.2020.</w:t>
      </w:r>
    </w:p>
    <w:p w14:paraId="137B9668" w14:textId="77777777" w:rsidR="000B5799" w:rsidRPr="001243BC" w:rsidRDefault="000B5799" w:rsidP="000B5799">
      <w:pPr>
        <w:spacing w:line="360" w:lineRule="auto"/>
        <w:ind w:firstLine="709"/>
        <w:jc w:val="both"/>
        <w:rPr>
          <w:sz w:val="28"/>
          <w:szCs w:val="28"/>
        </w:rPr>
      </w:pPr>
    </w:p>
    <w:p w14:paraId="0745CB02" w14:textId="77777777" w:rsidR="000B5799" w:rsidRPr="001243BC" w:rsidRDefault="000B5799" w:rsidP="000B5799">
      <w:pPr>
        <w:spacing w:line="360" w:lineRule="auto"/>
        <w:ind w:firstLine="709"/>
        <w:jc w:val="both"/>
        <w:rPr>
          <w:sz w:val="28"/>
          <w:szCs w:val="28"/>
        </w:rPr>
      </w:pPr>
    </w:p>
    <w:p w14:paraId="1B89BA2F" w14:textId="77777777" w:rsidR="000B5799" w:rsidRPr="001243BC" w:rsidRDefault="000B5799" w:rsidP="000B5799">
      <w:pPr>
        <w:spacing w:line="360" w:lineRule="auto"/>
        <w:ind w:firstLine="709"/>
        <w:jc w:val="both"/>
        <w:rPr>
          <w:sz w:val="28"/>
          <w:szCs w:val="28"/>
        </w:rPr>
      </w:pPr>
    </w:p>
    <w:p w14:paraId="0DB8683B" w14:textId="77777777" w:rsidR="000B5799" w:rsidRPr="000B5799" w:rsidRDefault="000B5799" w:rsidP="000B5799">
      <w:pPr>
        <w:widowControl w:val="0"/>
        <w:spacing w:line="360" w:lineRule="auto"/>
        <w:ind w:firstLine="709"/>
        <w:jc w:val="both"/>
        <w:rPr>
          <w:color w:val="00B050"/>
          <w:sz w:val="28"/>
          <w:szCs w:val="28"/>
          <w:shd w:val="clear" w:color="auto" w:fill="FFFFFF"/>
        </w:rPr>
      </w:pPr>
    </w:p>
    <w:p w14:paraId="72C0A1E3" w14:textId="77777777" w:rsidR="00A95594" w:rsidRPr="000B5799" w:rsidRDefault="00A95594" w:rsidP="003755D5">
      <w:pPr>
        <w:spacing w:line="360" w:lineRule="auto"/>
        <w:ind w:firstLine="709"/>
        <w:jc w:val="both"/>
        <w:rPr>
          <w:sz w:val="28"/>
          <w:szCs w:val="28"/>
        </w:rPr>
      </w:pPr>
    </w:p>
    <w:sectPr w:rsidR="00A95594" w:rsidRPr="000B5799" w:rsidSect="00EE677D">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E437C0" w14:textId="77777777" w:rsidR="003755D5" w:rsidRDefault="003755D5" w:rsidP="003755D5">
      <w:r>
        <w:separator/>
      </w:r>
    </w:p>
  </w:endnote>
  <w:endnote w:type="continuationSeparator" w:id="0">
    <w:p w14:paraId="01785356" w14:textId="77777777" w:rsidR="003755D5" w:rsidRDefault="003755D5" w:rsidP="00375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19643888"/>
      <w:docPartObj>
        <w:docPartGallery w:val="Page Numbers (Bottom of Page)"/>
        <w:docPartUnique/>
      </w:docPartObj>
    </w:sdtPr>
    <w:sdtContent>
      <w:p w14:paraId="2B1F4DD0" w14:textId="6D0DE98B" w:rsidR="00EE677D" w:rsidRDefault="00EE677D">
        <w:pPr>
          <w:pStyle w:val="a7"/>
          <w:jc w:val="center"/>
        </w:pPr>
        <w:r>
          <w:fldChar w:fldCharType="begin"/>
        </w:r>
        <w:r>
          <w:instrText>PAGE   \* MERGEFORMAT</w:instrText>
        </w:r>
        <w:r>
          <w:fldChar w:fldCharType="separate"/>
        </w:r>
        <w:r>
          <w:t>2</w:t>
        </w:r>
        <w:r>
          <w:fldChar w:fldCharType="end"/>
        </w:r>
      </w:p>
    </w:sdtContent>
  </w:sdt>
  <w:p w14:paraId="4CC07289" w14:textId="77777777" w:rsidR="003755D5" w:rsidRDefault="003755D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3C5EDD" w14:textId="77777777" w:rsidR="003755D5" w:rsidRDefault="003755D5" w:rsidP="003755D5">
      <w:r>
        <w:separator/>
      </w:r>
    </w:p>
  </w:footnote>
  <w:footnote w:type="continuationSeparator" w:id="0">
    <w:p w14:paraId="018FE673" w14:textId="77777777" w:rsidR="003755D5" w:rsidRDefault="003755D5" w:rsidP="003755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FE7"/>
    <w:rsid w:val="000003DD"/>
    <w:rsid w:val="00005F5F"/>
    <w:rsid w:val="000B5799"/>
    <w:rsid w:val="00163907"/>
    <w:rsid w:val="003755D5"/>
    <w:rsid w:val="004A0E66"/>
    <w:rsid w:val="004D4D3E"/>
    <w:rsid w:val="005D3FE7"/>
    <w:rsid w:val="005F0558"/>
    <w:rsid w:val="006D3C5F"/>
    <w:rsid w:val="00700D99"/>
    <w:rsid w:val="0081687B"/>
    <w:rsid w:val="00A95594"/>
    <w:rsid w:val="00B62CA0"/>
    <w:rsid w:val="00E41CD7"/>
    <w:rsid w:val="00EE677D"/>
  </w:rsids>
  <m:mathPr>
    <m:mathFont m:val="Cambria Math"/>
    <m:brkBin m:val="before"/>
    <m:brkBinSub m:val="--"/>
    <m:smallFrac m:val="0"/>
    <m:dispDef/>
    <m:lMargin m:val="0"/>
    <m:rMargin m:val="0"/>
    <m:defJc m:val="centerGroup"/>
    <m:wrapIndent m:val="1440"/>
    <m:intLim m:val="subSup"/>
    <m:naryLim m:val="undOvr"/>
  </m:mathPr>
  <w:themeFontLang w:val="ru-B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B3725"/>
  <w15:chartTrackingRefBased/>
  <w15:docId w15:val="{FC018EBA-2262-46FE-A2FA-7F5EC28AB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B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3FE7"/>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МГИМО"/>
    <w:basedOn w:val="a"/>
    <w:autoRedefine/>
    <w:qFormat/>
    <w:rsid w:val="00163907"/>
    <w:pPr>
      <w:spacing w:line="360" w:lineRule="auto"/>
      <w:ind w:firstLine="709"/>
      <w:jc w:val="both"/>
    </w:pPr>
    <w:rPr>
      <w:rFonts w:eastAsiaTheme="minorHAnsi" w:cstheme="minorBidi"/>
      <w:sz w:val="28"/>
      <w:szCs w:val="22"/>
      <w:lang w:val="ru-BY" w:eastAsia="ru-BY"/>
    </w:rPr>
  </w:style>
  <w:style w:type="paragraph" w:styleId="a4">
    <w:name w:val="Normal (Web)"/>
    <w:basedOn w:val="a"/>
    <w:uiPriority w:val="99"/>
    <w:rsid w:val="005D3FE7"/>
    <w:pPr>
      <w:spacing w:before="100" w:beforeAutospacing="1" w:after="100" w:afterAutospacing="1"/>
    </w:pPr>
  </w:style>
  <w:style w:type="character" w:customStyle="1" w:styleId="hps">
    <w:name w:val="hps"/>
    <w:basedOn w:val="a0"/>
    <w:rsid w:val="005D3FE7"/>
  </w:style>
  <w:style w:type="paragraph" w:styleId="a5">
    <w:name w:val="header"/>
    <w:basedOn w:val="a"/>
    <w:link w:val="a6"/>
    <w:uiPriority w:val="99"/>
    <w:unhideWhenUsed/>
    <w:rsid w:val="003755D5"/>
    <w:pPr>
      <w:tabs>
        <w:tab w:val="center" w:pos="4677"/>
        <w:tab w:val="right" w:pos="9355"/>
      </w:tabs>
    </w:pPr>
  </w:style>
  <w:style w:type="character" w:customStyle="1" w:styleId="a6">
    <w:name w:val="Верхний колонтитул Знак"/>
    <w:basedOn w:val="a0"/>
    <w:link w:val="a5"/>
    <w:uiPriority w:val="99"/>
    <w:rsid w:val="003755D5"/>
    <w:rPr>
      <w:rFonts w:ascii="Times New Roman" w:eastAsia="Times New Roman" w:hAnsi="Times New Roman" w:cs="Times New Roman"/>
      <w:sz w:val="24"/>
      <w:szCs w:val="24"/>
      <w:lang w:val="ru-RU" w:eastAsia="ru-RU"/>
    </w:rPr>
  </w:style>
  <w:style w:type="paragraph" w:styleId="a7">
    <w:name w:val="footer"/>
    <w:basedOn w:val="a"/>
    <w:link w:val="a8"/>
    <w:uiPriority w:val="99"/>
    <w:unhideWhenUsed/>
    <w:rsid w:val="003755D5"/>
    <w:pPr>
      <w:tabs>
        <w:tab w:val="center" w:pos="4677"/>
        <w:tab w:val="right" w:pos="9355"/>
      </w:tabs>
    </w:pPr>
  </w:style>
  <w:style w:type="character" w:customStyle="1" w:styleId="a8">
    <w:name w:val="Нижний колонтитул Знак"/>
    <w:basedOn w:val="a0"/>
    <w:link w:val="a7"/>
    <w:uiPriority w:val="99"/>
    <w:rsid w:val="003755D5"/>
    <w:rPr>
      <w:rFonts w:ascii="Times New Roman" w:eastAsia="Times New Roman" w:hAnsi="Times New Roman" w:cs="Times New Roman"/>
      <w:sz w:val="24"/>
      <w:szCs w:val="24"/>
      <w:lang w:val="ru-RU" w:eastAsia="ru-RU"/>
    </w:rPr>
  </w:style>
  <w:style w:type="character" w:styleId="a9">
    <w:name w:val="Hyperlink"/>
    <w:uiPriority w:val="99"/>
    <w:rsid w:val="000B57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rt.gov.by/files/live/sites/mart/files/documents/20200309"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eurasiancommission.org/ru/NIR/Lists/List/Attachments/161/%D0%25"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art.gov.by/files/live/sites/mart/files/documents/20200309"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www.economy.gov.by/ru/idei_importozames-ru" TargetMode="External"/><Relationship Id="rId4" Type="http://schemas.openxmlformats.org/officeDocument/2006/relationships/footnotes" Target="footnotes.xml"/><Relationship Id="rId9" Type="http://schemas.openxmlformats.org/officeDocument/2006/relationships/hyperlink" Target="https://mart.gov.by/files/live/sites/mart/files/documents/2020030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14</Pages>
  <Words>3774</Words>
  <Characters>21518</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Альбина Уриш</dc:creator>
  <cp:keywords/>
  <dc:description/>
  <cp:lastModifiedBy>Альбина Уриш</cp:lastModifiedBy>
  <cp:revision>7</cp:revision>
  <dcterms:created xsi:type="dcterms:W3CDTF">2020-11-20T12:25:00Z</dcterms:created>
  <dcterms:modified xsi:type="dcterms:W3CDTF">2020-11-20T14:46:00Z</dcterms:modified>
</cp:coreProperties>
</file>