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157FB0" w:rsidRPr="00157FB0" w:rsidTr="00157FB0">
        <w:tc>
          <w:tcPr>
            <w:tcW w:w="4928" w:type="dxa"/>
            <w:shd w:val="clear" w:color="auto" w:fill="D3D3D3"/>
          </w:tcPr>
          <w:p w:rsidR="00157FB0" w:rsidRPr="00157FB0" w:rsidRDefault="00157FB0">
            <w:pPr>
              <w:rPr>
                <w:rFonts w:eastAsia="Arial Unicode MS"/>
                <w:sz w:val="22"/>
                <w:szCs w:val="22"/>
                <w:lang w:val="ru-RU"/>
              </w:rPr>
            </w:pPr>
            <w:r>
              <w:rPr>
                <w:rFonts w:eastAsia="Arial Unicode MS"/>
                <w:sz w:val="22"/>
                <w:szCs w:val="22"/>
                <w:lang w:val="ru-RU"/>
              </w:rPr>
              <w:t>Оригинал</w:t>
            </w:r>
            <w:bookmarkStart w:id="0" w:name="_GoBack"/>
            <w:bookmarkEnd w:id="0"/>
          </w:p>
        </w:tc>
        <w:tc>
          <w:tcPr>
            <w:tcW w:w="4819" w:type="dxa"/>
            <w:shd w:val="clear" w:color="auto" w:fill="D3D3D3"/>
          </w:tcPr>
          <w:p w:rsidR="00157FB0" w:rsidRPr="00157FB0" w:rsidRDefault="00157FB0">
            <w:pPr>
              <w:rPr>
                <w:rFonts w:eastAsia="Arial Unicode MS"/>
                <w:sz w:val="22"/>
                <w:szCs w:val="22"/>
                <w:lang w:val="ru-RU"/>
              </w:rPr>
            </w:pPr>
            <w:r>
              <w:rPr>
                <w:rFonts w:eastAsia="Arial Unicode MS"/>
                <w:sz w:val="22"/>
                <w:szCs w:val="22"/>
                <w:lang w:val="ru-RU"/>
              </w:rPr>
              <w:t>Перевод</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proofErr w:type="gramStart"/>
            <w:r w:rsidRPr="00157FB0">
              <w:rPr>
                <w:rFonts w:eastAsia="Arial Unicode MS"/>
                <w:sz w:val="22"/>
                <w:szCs w:val="22"/>
                <w:lang w:val="ru-RU"/>
              </w:rPr>
              <w:t>Общество</w:t>
            </w:r>
            <w:proofErr w:type="gramEnd"/>
            <w:r w:rsidRPr="00157FB0">
              <w:rPr>
                <w:rFonts w:eastAsia="Arial Unicode MS"/>
                <w:sz w:val="22"/>
                <w:szCs w:val="22"/>
                <w:lang w:val="ru-RU"/>
              </w:rPr>
              <w:t xml:space="preserve"> с ограниченной ответственностью ____________________ именуемое в дальнейшем «Поставщик», в лице Генерального директора ________________________, действующего на основании Устава, с одной стороны и общество с ограниченной ответственностью «____________», именуемое в дальнейшем «Покупатель», в лице __________, действующего на основании устава, с другой стороны, совместно именуемые далее «Стороны», заключили настоящий договор о нижеследующем.</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Limited Liability Company ______________ hereinafter referred to as "Supplier", represented by the General Director _________________ acting in accordance with the Articles of Association, from the one side and Limited Liability Company ____________ hereinafter referred to as "Buyer", represented by __________ acting in accordance with the Articles of Association, from the other side, jointly referred to as "Parties" have entered into this Contract as follows:</w:t>
            </w:r>
          </w:p>
        </w:tc>
      </w:tr>
      <w:tr w:rsidR="00157FB0" w:rsidRPr="00157FB0" w:rsidTr="00157FB0">
        <w:tc>
          <w:tcPr>
            <w:tcW w:w="4928" w:type="dxa"/>
            <w:shd w:val="clear" w:color="auto" w:fill="FFFFFF"/>
          </w:tcPr>
          <w:p w:rsidR="00157FB0" w:rsidRPr="00157FB0" w:rsidRDefault="00157FB0">
            <w:pPr>
              <w:rPr>
                <w:rFonts w:eastAsia="Arial Unicode MS"/>
                <w:sz w:val="22"/>
                <w:szCs w:val="22"/>
              </w:rPr>
            </w:pPr>
            <w:r w:rsidRPr="00157FB0">
              <w:rPr>
                <w:rFonts w:eastAsia="Arial Unicode MS"/>
                <w:sz w:val="22"/>
                <w:szCs w:val="22"/>
              </w:rPr>
              <w:t>1. ПРЕДМЕТ ДОГОВОРА</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1. SUBJECT OF THE CONTRACT</w:t>
            </w:r>
          </w:p>
        </w:tc>
      </w:tr>
      <w:tr w:rsidR="00157FB0" w:rsidRPr="00157FB0" w:rsidTr="00157FB0">
        <w:tc>
          <w:tcPr>
            <w:tcW w:w="4928" w:type="dxa"/>
            <w:shd w:val="clear" w:color="auto" w:fill="FFFFFF"/>
          </w:tcPr>
          <w:p w:rsidR="00157FB0" w:rsidRPr="00157FB0" w:rsidRDefault="00157FB0">
            <w:pPr>
              <w:rPr>
                <w:rFonts w:eastAsia="Arial Unicode MS"/>
                <w:sz w:val="22"/>
                <w:szCs w:val="22"/>
              </w:rPr>
            </w:pPr>
            <w:r w:rsidRPr="00157FB0">
              <w:rPr>
                <w:rFonts w:eastAsia="Arial Unicode MS"/>
                <w:sz w:val="22"/>
                <w:szCs w:val="22"/>
              </w:rPr>
              <w:t>1.1.</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1.1.</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Поставщик обязуется поставить оборудование, а Покупатель - принять и оплатить комплект оборудования в соответствии с выставленными счетами.</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The Supplier shall deliver the equipment and the Buyer agrees to accept and pay for the set of equipment in accordance with the issued invoices.</w:t>
            </w:r>
          </w:p>
        </w:tc>
      </w:tr>
      <w:tr w:rsidR="00157FB0" w:rsidRPr="00157FB0" w:rsidTr="00157FB0">
        <w:tc>
          <w:tcPr>
            <w:tcW w:w="4928" w:type="dxa"/>
            <w:shd w:val="clear" w:color="auto" w:fill="FFFFFF"/>
          </w:tcPr>
          <w:p w:rsidR="00157FB0" w:rsidRPr="00157FB0" w:rsidRDefault="00157FB0">
            <w:pPr>
              <w:rPr>
                <w:rFonts w:eastAsia="Arial Unicode MS"/>
                <w:sz w:val="22"/>
                <w:szCs w:val="22"/>
              </w:rPr>
            </w:pPr>
            <w:r w:rsidRPr="00157FB0">
              <w:rPr>
                <w:rFonts w:eastAsia="Arial Unicode MS"/>
                <w:sz w:val="22"/>
                <w:szCs w:val="22"/>
              </w:rPr>
              <w:t>1.2.</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1.2.</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Настоящим Поставщик гарантирует, что Оборудование принадлежит ему на праве собственности, не является предметом залога, под арестом не состоит, свободно от прав третьих лиц.</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The Supplier hereby warrants that the Equipment belongs to the Supplier on the basis of the right of ownership and that the Equipment is free from any charges, liens and encumbrances.</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2. ОБЯЗАТЕЛЬСТВА СТОРОН И УСЛОВИЯ ПОСТАВКИ ОБОРУДОВАНИЯ</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2. OBLIGATIONS OF PARTIES AND TERMS OF DELIVERY</w:t>
            </w:r>
          </w:p>
        </w:tc>
      </w:tr>
      <w:tr w:rsidR="00157FB0" w:rsidRPr="00157FB0" w:rsidTr="00157FB0">
        <w:tc>
          <w:tcPr>
            <w:tcW w:w="4928" w:type="dxa"/>
            <w:shd w:val="clear" w:color="auto" w:fill="FFFFFF"/>
          </w:tcPr>
          <w:p w:rsidR="00157FB0" w:rsidRPr="00157FB0" w:rsidRDefault="00157FB0">
            <w:pPr>
              <w:rPr>
                <w:rFonts w:eastAsia="Arial Unicode MS"/>
                <w:sz w:val="22"/>
                <w:szCs w:val="22"/>
              </w:rPr>
            </w:pPr>
            <w:r w:rsidRPr="00157FB0">
              <w:rPr>
                <w:rFonts w:eastAsia="Arial Unicode MS"/>
                <w:sz w:val="22"/>
                <w:szCs w:val="22"/>
              </w:rPr>
              <w:t>2.1.</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2.1.</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 xml:space="preserve">Поставка Оборудования осуществляется Поставщиком в течение 10(десяти) календарных дней </w:t>
            </w:r>
            <w:proofErr w:type="gramStart"/>
            <w:r w:rsidRPr="00157FB0">
              <w:rPr>
                <w:rFonts w:eastAsia="Arial Unicode MS"/>
                <w:sz w:val="22"/>
                <w:szCs w:val="22"/>
                <w:lang w:val="ru-RU"/>
              </w:rPr>
              <w:t>с даты подписания</w:t>
            </w:r>
            <w:proofErr w:type="gramEnd"/>
            <w:r w:rsidRPr="00157FB0">
              <w:rPr>
                <w:rFonts w:eastAsia="Arial Unicode MS"/>
                <w:sz w:val="22"/>
                <w:szCs w:val="22"/>
                <w:lang w:val="ru-RU"/>
              </w:rPr>
              <w:t xml:space="preserve"> Сторонами настоящего Договора.</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The Supplier shall deliver the Equipment within ten (10) calendar days from the date of signing of this Contract.</w:t>
            </w:r>
          </w:p>
        </w:tc>
      </w:tr>
      <w:tr w:rsidR="00157FB0" w:rsidRPr="00157FB0" w:rsidTr="00157FB0">
        <w:tc>
          <w:tcPr>
            <w:tcW w:w="4928" w:type="dxa"/>
            <w:shd w:val="clear" w:color="auto" w:fill="FFFFFF"/>
          </w:tcPr>
          <w:p w:rsidR="00157FB0" w:rsidRPr="00157FB0" w:rsidRDefault="00157FB0">
            <w:pPr>
              <w:rPr>
                <w:rFonts w:eastAsia="Arial Unicode MS"/>
                <w:sz w:val="22"/>
                <w:szCs w:val="22"/>
              </w:rPr>
            </w:pPr>
            <w:r w:rsidRPr="00157FB0">
              <w:rPr>
                <w:rFonts w:eastAsia="Arial Unicode MS"/>
                <w:sz w:val="22"/>
                <w:szCs w:val="22"/>
              </w:rPr>
              <w:t>2.2.</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2.2.</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Поставка Оборудования осуществляется со склада Поставщика</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The Equipment shall be delivered from the Supplier's warehouse.</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5. ОТВЕТСТВЕННОСТЬ СТОРОН</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5. RESPONSIBILITY OF THE PARTIES</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5.1.</w:t>
            </w:r>
          </w:p>
        </w:tc>
        <w:tc>
          <w:tcPr>
            <w:tcW w:w="4819"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5.1.</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При невыполнении или ненадлежащем выполнении Поставщиком своих обязательств по настоящему Договору Покупатель вправе потребовать от Поставщика уплаты неустойки в размере 0,03%  от общей суммы настоящего Договора за каждый день просрочки поставки оборудования, но не более 10% от общей суммы настоящего Договора.</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 xml:space="preserve">In case of non-performance or improper performance by the Supplier of its contractual obligations, the Buyer may ask for payment of a penalty in the amount of </w:t>
            </w:r>
            <w:proofErr w:type="spellStart"/>
            <w:r w:rsidRPr="00157FB0">
              <w:rPr>
                <w:rFonts w:eastAsia="Arial Unicode MS"/>
                <w:sz w:val="22"/>
                <w:szCs w:val="22"/>
              </w:rPr>
              <w:t>nought</w:t>
            </w:r>
            <w:proofErr w:type="spellEnd"/>
            <w:r w:rsidRPr="00157FB0">
              <w:rPr>
                <w:rFonts w:eastAsia="Arial Unicode MS"/>
                <w:sz w:val="22"/>
                <w:szCs w:val="22"/>
              </w:rPr>
              <w:t xml:space="preserve"> point </w:t>
            </w:r>
            <w:proofErr w:type="spellStart"/>
            <w:r w:rsidRPr="00157FB0">
              <w:rPr>
                <w:rFonts w:eastAsia="Arial Unicode MS"/>
                <w:sz w:val="22"/>
                <w:szCs w:val="22"/>
              </w:rPr>
              <w:t>nought</w:t>
            </w:r>
            <w:proofErr w:type="spellEnd"/>
            <w:r w:rsidRPr="00157FB0">
              <w:rPr>
                <w:rFonts w:eastAsia="Arial Unicode MS"/>
                <w:sz w:val="22"/>
                <w:szCs w:val="22"/>
              </w:rPr>
              <w:t xml:space="preserve"> three (0.03) per cent of the total value of this Contract for each day of delay of equipment delivery, but not over than 10% of the total value of this Contract.</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5.3</w:t>
            </w:r>
          </w:p>
        </w:tc>
        <w:tc>
          <w:tcPr>
            <w:tcW w:w="4819"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5.3</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 xml:space="preserve">В случае нарушения Поставщиком срока выполнения своих обязательств по настоящему Договору более чем на 30 (тридцать) календарных дней Покупатель вправе в </w:t>
            </w:r>
            <w:r w:rsidRPr="00157FB0">
              <w:rPr>
                <w:rFonts w:eastAsia="Arial Unicode MS"/>
                <w:sz w:val="22"/>
                <w:szCs w:val="22"/>
                <w:lang w:val="ru-RU"/>
              </w:rPr>
              <w:lastRenderedPageBreak/>
              <w:t>одностороннем порядке расторгнуть настоящий Договор, письменно уведомив об этом Поставщика, а также потребовать уплаты неустойки согласно п. 5.1 настоящего Договора.</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lastRenderedPageBreak/>
              <w:t xml:space="preserve">In the event that the Supplier fails to comply with the deadline to perform its contractual obligations more than for thirty (30) calendar days, the Buyer may terminate this Contract in the unilateral manner </w:t>
            </w:r>
            <w:r w:rsidRPr="00157FB0">
              <w:rPr>
                <w:rFonts w:eastAsia="Arial Unicode MS"/>
                <w:sz w:val="22"/>
                <w:szCs w:val="22"/>
              </w:rPr>
              <w:lastRenderedPageBreak/>
              <w:t>by means of giving a written notice to the Supplier and ask for payment of a penalty according to the clause 5.1 of this Contract.</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lastRenderedPageBreak/>
              <w:t xml:space="preserve">Ни одна из </w:t>
            </w:r>
            <w:proofErr w:type="gramStart"/>
            <w:r w:rsidRPr="00157FB0">
              <w:rPr>
                <w:rFonts w:eastAsia="Arial Unicode MS"/>
                <w:sz w:val="22"/>
                <w:szCs w:val="22"/>
                <w:lang w:val="ru-RU"/>
              </w:rPr>
              <w:t>Сторон</w:t>
            </w:r>
            <w:proofErr w:type="gramEnd"/>
            <w:r w:rsidRPr="00157FB0">
              <w:rPr>
                <w:rFonts w:eastAsia="Arial Unicode MS"/>
                <w:sz w:val="22"/>
                <w:szCs w:val="22"/>
                <w:lang w:val="ru-RU"/>
              </w:rPr>
              <w:t xml:space="preserve"> ни при каких обстоятельствах не несет никакой ответственности перед другой Стороной за упущенную выгоду.</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Neither of the Parties in any circumstances shall be liable to the other Party for any expectation damages.</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6. ФОРС-МАЖОР</w:t>
            </w:r>
          </w:p>
        </w:tc>
        <w:tc>
          <w:tcPr>
            <w:tcW w:w="4819"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6. FORCE MAJEURE</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6.1.</w:t>
            </w:r>
          </w:p>
        </w:tc>
        <w:tc>
          <w:tcPr>
            <w:tcW w:w="4819"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rPr>
              <w:t>6.1.</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r w:rsidRPr="00157FB0">
              <w:rPr>
                <w:rFonts w:eastAsia="Arial Unicode MS"/>
                <w:sz w:val="22"/>
                <w:szCs w:val="22"/>
                <w:lang w:val="ru-RU"/>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w:t>
            </w:r>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No Party is responsible for any delay of performance or for non-performance of its obligations under this Contract if that non-performance of delay was caused by the circumstances of Force Majeure.</w:t>
            </w:r>
          </w:p>
        </w:tc>
      </w:tr>
      <w:tr w:rsidR="00157FB0" w:rsidRPr="00157FB0" w:rsidTr="00157FB0">
        <w:tc>
          <w:tcPr>
            <w:tcW w:w="4928" w:type="dxa"/>
            <w:shd w:val="clear" w:color="auto" w:fill="FFFFFF"/>
          </w:tcPr>
          <w:p w:rsidR="00157FB0" w:rsidRPr="00157FB0" w:rsidRDefault="00157FB0">
            <w:pPr>
              <w:rPr>
                <w:rFonts w:eastAsia="Arial Unicode MS"/>
                <w:sz w:val="22"/>
                <w:szCs w:val="22"/>
                <w:lang w:val="ru-RU"/>
              </w:rPr>
            </w:pPr>
            <w:proofErr w:type="gramStart"/>
            <w:r w:rsidRPr="00157FB0">
              <w:rPr>
                <w:rFonts w:eastAsia="Arial Unicode MS"/>
                <w:sz w:val="22"/>
                <w:szCs w:val="22"/>
                <w:lang w:val="ru-RU"/>
              </w:rPr>
              <w:t>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roofErr w:type="gramEnd"/>
          </w:p>
        </w:tc>
        <w:tc>
          <w:tcPr>
            <w:tcW w:w="4819" w:type="dxa"/>
            <w:shd w:val="clear" w:color="auto" w:fill="FFFFFF"/>
          </w:tcPr>
          <w:p w:rsidR="00157FB0" w:rsidRPr="00157FB0" w:rsidRDefault="00157FB0">
            <w:pPr>
              <w:rPr>
                <w:rFonts w:eastAsia="Arial Unicode MS"/>
                <w:sz w:val="22"/>
                <w:szCs w:val="22"/>
              </w:rPr>
            </w:pPr>
            <w:r w:rsidRPr="00157FB0">
              <w:rPr>
                <w:rFonts w:eastAsia="Arial Unicode MS"/>
                <w:sz w:val="22"/>
                <w:szCs w:val="22"/>
              </w:rPr>
              <w:t>These Force Majeure circumstances include wars, acts of war, rebellions, sabotages, strikes, fires, explosions, floods or any other acts of God, statutory legal acts of the governmental authorities.</w:t>
            </w:r>
          </w:p>
        </w:tc>
      </w:tr>
    </w:tbl>
    <w:p w:rsidR="00A77B3E" w:rsidRDefault="00A77B3E">
      <w:pPr>
        <w:rPr>
          <w:rFonts w:ascii="Arial Unicode MS" w:eastAsia="Arial Unicode MS" w:hAnsi="Arial Unicode MS" w:cs="Arial Unicode MS"/>
          <w:sz w:val="22"/>
        </w:rPr>
      </w:pPr>
    </w:p>
    <w:sectPr w:rsidR="00A77B3E" w:rsidSect="00157FB0">
      <w:headerReference w:type="even"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37" w:rsidRDefault="005A6F37">
      <w:r>
        <w:separator/>
      </w:r>
    </w:p>
  </w:endnote>
  <w:endnote w:type="continuationSeparator" w:id="0">
    <w:p w:rsidR="005A6F37" w:rsidRDefault="005A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37" w:rsidRDefault="005A6F37">
      <w:r>
        <w:separator/>
      </w:r>
    </w:p>
  </w:footnote>
  <w:footnote w:type="continuationSeparator" w:id="0">
    <w:p w:rsidR="005A6F37" w:rsidRDefault="005A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30" w:rsidRDefault="005A6F37">
    <w:r>
      <w:rPr>
        <w:noProof/>
        <w:lang w:val="ru-RU" w:eastAsia="zh-CN"/>
      </w:rPr>
      <w:drawing>
        <wp:inline distT="0" distB="0" distL="0" distR="0" wp14:anchorId="736C76E5" wp14:editId="231A3371">
          <wp:extent cx="1498941" cy="266761"/>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498941" cy="2667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57FB0"/>
    <w:rsid w:val="00481230"/>
    <w:rsid w:val="005A6F3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57FB0"/>
    <w:rPr>
      <w:rFonts w:ascii="Tahoma" w:hAnsi="Tahoma" w:cs="Tahoma"/>
      <w:sz w:val="16"/>
      <w:szCs w:val="16"/>
    </w:rPr>
  </w:style>
  <w:style w:type="character" w:customStyle="1" w:styleId="a4">
    <w:name w:val="Текст выноски Знак"/>
    <w:basedOn w:val="a0"/>
    <w:link w:val="a3"/>
    <w:rsid w:val="00157FB0"/>
    <w:rPr>
      <w:rFonts w:ascii="Tahoma" w:hAnsi="Tahoma" w:cs="Tahoma"/>
      <w:sz w:val="16"/>
      <w:szCs w:val="16"/>
    </w:rPr>
  </w:style>
  <w:style w:type="paragraph" w:styleId="a5">
    <w:name w:val="footer"/>
    <w:basedOn w:val="a"/>
    <w:link w:val="a6"/>
    <w:rsid w:val="00157FB0"/>
    <w:pPr>
      <w:tabs>
        <w:tab w:val="center" w:pos="4677"/>
        <w:tab w:val="right" w:pos="9355"/>
      </w:tabs>
    </w:pPr>
  </w:style>
  <w:style w:type="character" w:customStyle="1" w:styleId="a6">
    <w:name w:val="Нижний колонтитул Знак"/>
    <w:basedOn w:val="a0"/>
    <w:link w:val="a5"/>
    <w:rsid w:val="00157FB0"/>
    <w:rPr>
      <w:sz w:val="24"/>
      <w:szCs w:val="24"/>
    </w:rPr>
  </w:style>
  <w:style w:type="paragraph" w:styleId="a7">
    <w:name w:val="header"/>
    <w:basedOn w:val="a"/>
    <w:link w:val="a8"/>
    <w:rsid w:val="00157FB0"/>
    <w:pPr>
      <w:tabs>
        <w:tab w:val="center" w:pos="4677"/>
        <w:tab w:val="right" w:pos="9355"/>
      </w:tabs>
    </w:pPr>
  </w:style>
  <w:style w:type="character" w:customStyle="1" w:styleId="a8">
    <w:name w:val="Верхний колонтитул Знак"/>
    <w:basedOn w:val="a0"/>
    <w:link w:val="a7"/>
    <w:rsid w:val="00157F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Windows</cp:lastModifiedBy>
  <cp:revision>2</cp:revision>
  <dcterms:created xsi:type="dcterms:W3CDTF">2022-08-10T06:20:00Z</dcterms:created>
  <dcterms:modified xsi:type="dcterms:W3CDTF">2022-08-10T06:24:00Z</dcterms:modified>
</cp:coreProperties>
</file>