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07" w14:textId="77777777" w:rsidR="00C4471F" w:rsidRDefault="00C4471F" w:rsidP="00C447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F1ECC">
        <w:rPr>
          <w:rFonts w:ascii="Times New Roman" w:hAnsi="Times New Roman" w:cs="Times New Roman"/>
          <w:b/>
          <w:bCs/>
          <w:sz w:val="24"/>
          <w:szCs w:val="24"/>
          <w:lang w:val="fr-FR"/>
        </w:rPr>
        <w:t>Oncologie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cellulaire et moleculaire</w:t>
      </w:r>
    </w:p>
    <w:p w14:paraId="0639B337" w14:textId="77777777" w:rsidR="00C4471F" w:rsidRDefault="00C4471F" w:rsidP="00C4471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Hugues de Thé</w:t>
      </w:r>
    </w:p>
    <w:p w14:paraId="145C700E" w14:textId="4E468B79" w:rsidR="00C4471F" w:rsidRDefault="00C4471F" w:rsidP="00C447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Annuaire de College de France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r w:rsidRPr="004F1ECC">
        <w:rPr>
          <w:rFonts w:ascii="Times New Roman" w:hAnsi="Times New Roman" w:cs="Times New Roman"/>
          <w:sz w:val="24"/>
          <w:szCs w:val="24"/>
          <w:lang w:val="fr-FR"/>
        </w:rPr>
        <w:t>118  2020</w:t>
      </w:r>
    </w:p>
    <w:p w14:paraId="7134068C" w14:textId="77777777" w:rsidR="00C4471F" w:rsidRDefault="00C4471F" w:rsidP="00C44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Онкология клеточная и молекулярная</w:t>
      </w:r>
    </w:p>
    <w:p w14:paraId="73EC1E0B" w14:textId="5E5029A7" w:rsidR="00C4471F" w:rsidRPr="00E43CA8" w:rsidRDefault="00C4471F" w:rsidP="00C44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proofErr w:type="spellStart"/>
        <w:r w:rsidRPr="00E43CA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Югес</w:t>
        </w:r>
        <w:proofErr w:type="spellEnd"/>
      </w:hyperlink>
      <w:r w:rsidRPr="00E43CA8">
        <w:rPr>
          <w:rFonts w:ascii="Times New Roman" w:hAnsi="Times New Roman" w:cs="Times New Roman"/>
          <w:b/>
          <w:bCs/>
          <w:sz w:val="24"/>
          <w:szCs w:val="24"/>
        </w:rPr>
        <w:t xml:space="preserve"> де Тэ</w:t>
      </w:r>
    </w:p>
    <w:p w14:paraId="2FD74607" w14:textId="151D4C36" w:rsidR="00F50EDB" w:rsidRDefault="00C4471F" w:rsidP="00154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CA8">
        <w:rPr>
          <w:rFonts w:ascii="Times New Roman" w:hAnsi="Times New Roman" w:cs="Times New Roman"/>
          <w:b/>
          <w:bCs/>
          <w:sz w:val="24"/>
          <w:szCs w:val="24"/>
        </w:rPr>
        <w:t>Ежегодник Коллеж де Франс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proofErr w:type="gramStart"/>
      <w:r w:rsidRPr="004F1ECC">
        <w:rPr>
          <w:rFonts w:ascii="Times New Roman" w:hAnsi="Times New Roman" w:cs="Times New Roman"/>
          <w:sz w:val="24"/>
          <w:szCs w:val="24"/>
        </w:rPr>
        <w:t>118</w:t>
      </w:r>
      <w:r w:rsidRPr="003D6778">
        <w:rPr>
          <w:rFonts w:ascii="Times New Roman" w:hAnsi="Times New Roman" w:cs="Times New Roman"/>
          <w:sz w:val="24"/>
          <w:szCs w:val="24"/>
        </w:rPr>
        <w:t xml:space="preserve"> </w:t>
      </w:r>
      <w:r w:rsidRPr="004F1ECC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14:paraId="200175EE" w14:textId="77777777" w:rsidR="0015454F" w:rsidRPr="005F6769" w:rsidRDefault="0015454F" w:rsidP="0015454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D6778" w:rsidRPr="003D6778" w14:paraId="1054A8DA" w14:textId="77777777" w:rsidTr="004F1ECC">
        <w:tc>
          <w:tcPr>
            <w:tcW w:w="7280" w:type="dxa"/>
          </w:tcPr>
          <w:p w14:paraId="7E11C18B" w14:textId="5903F587" w:rsidR="003D6778" w:rsidRPr="007D4602" w:rsidRDefault="003D6778" w:rsidP="003D6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Оригинальный текст</w:t>
            </w:r>
          </w:p>
        </w:tc>
        <w:tc>
          <w:tcPr>
            <w:tcW w:w="7280" w:type="dxa"/>
          </w:tcPr>
          <w:p w14:paraId="0A3AE44A" w14:textId="10D17449" w:rsidR="003D6778" w:rsidRPr="007D4602" w:rsidRDefault="003D6778" w:rsidP="003D6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</w:t>
            </w:r>
          </w:p>
        </w:tc>
      </w:tr>
      <w:tr w:rsidR="003D6778" w:rsidRPr="003D6778" w14:paraId="671C0FC8" w14:textId="77777777" w:rsidTr="004F1ECC">
        <w:tc>
          <w:tcPr>
            <w:tcW w:w="7280" w:type="dxa"/>
          </w:tcPr>
          <w:p w14:paraId="74C635FD" w14:textId="77777777" w:rsidR="00FA4E63" w:rsidRDefault="00FA4E63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372D9CD" w14:textId="6A4BB0B0" w:rsidR="003D6778" w:rsidRDefault="003D6778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F6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manière inattendue, les effets biologiques des Runx peuvent parfois </w:t>
            </w:r>
            <w:r w:rsidRPr="00F469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tre opposés dans des types cellulaires différents</w:t>
            </w:r>
            <w:r w:rsidRPr="00F469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Ainsi, les surexpressions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1, mais aussi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ou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Runx3 vont promouvoir la transformation cancéreuse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81A783F" w14:textId="77777777" w:rsidR="003D6778" w:rsidRDefault="003D6778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Mais inversement, l</w:t>
            </w:r>
            <w:r w:rsidRPr="0096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excision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la naissance va aussi favoriser la lymphomato-génèse induite par une infection rétrovirale! De même, l</w:t>
            </w:r>
            <w:r w:rsidRPr="0096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excision de Runx3 dans le poumon favorise la transformation par K-RasG</w:t>
            </w:r>
            <w:r w:rsidRPr="0096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Ainsi, suivant le contxte cellulaire, la surexpression ou la sous-expression peuvent l’une et l’autre favoriser la transformation cancéreuse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3A83DC82" w14:textId="77777777" w:rsidR="003D6778" w:rsidRDefault="003D6778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Fonctionnellement, les cibles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sont la différenciation hématopo</w:t>
            </w:r>
            <w:r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étique</w:t>
            </w:r>
            <w:r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imitive, la biosynthèse des ribosomes et la prolifération cellulaire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Cette dernière est contr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lée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travers les signalisations p53 et 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TGF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β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FAF35F9" w14:textId="77777777" w:rsidR="003D6778" w:rsidRDefault="003D6778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96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excision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 létale, du fait de l’absence complète des cellules sanguines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L’expression </w:t>
            </w:r>
            <w:r w:rsidRPr="00CE0E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in vivo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protéines rapporteuses (GFP ou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β</w:t>
            </w:r>
            <w:r w:rsidRPr="00CE0E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-ga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lactosidase a permis de spécifier les territoires d’expression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dès les premiers stades de l’embryogénèse</w:t>
            </w:r>
            <w:r w:rsidRPr="000A30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permet de tracer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l’origine des premièrs cellules sanguines, dèpuis le sac vitellin, jusqu’à l’aorte de l’embryon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069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29E46CC" w14:textId="77777777" w:rsidR="0098125B" w:rsidRDefault="003D6778" w:rsidP="009812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ètudes élégantes ont permis de visualiser la transition entre l’endothélium vasculaire et les premièrs cellules souches hématopo</w:t>
            </w:r>
            <w:r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étiques, transition dans laquelle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joue un r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essentiel</w:t>
            </w:r>
            <w:r w:rsidRPr="00503F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Comme chez C</w:t>
            </w:r>
            <w:r w:rsidRPr="004F1E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elegans, l’inactivation du partenaire CBF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β</w:t>
            </w:r>
            <w:r w:rsidRPr="00503F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mêmes effets que celle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démontrant ainsi le r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clé de l’hétérodimère dans la spéciation des cellules</w:t>
            </w:r>
            <w:r w:rsidRPr="008650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hématopo</w:t>
            </w:r>
            <w:r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étiques</w:t>
            </w:r>
            <w:r w:rsidRPr="008650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manière remarquable, l’inactivation de Runx</w:t>
            </w:r>
            <w:r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la naissance n’a que des effets modestes, ne conduisant qu’à une perte lente des cellules souches hématopo</w:t>
            </w:r>
            <w:r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étiques du fait d’une augmentation de leur différenciation spontanée</w:t>
            </w:r>
            <w:r w:rsidRPr="004F1E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971F88F" w14:textId="5D0ECCC2" w:rsidR="003D6778" w:rsidRPr="006638E3" w:rsidRDefault="003D6778" w:rsidP="009812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Ainsi, cette protéine est indispensable à la formation des progéniteurs, puis, dans une moindre mesure, à leur maintien</w:t>
            </w:r>
            <w:r w:rsidRPr="003C37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  </w:t>
            </w:r>
          </w:p>
          <w:p w14:paraId="2A88FA6D" w14:textId="77777777" w:rsidR="00C87EF2" w:rsidRDefault="003D6778" w:rsidP="009812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9640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excision de P2 mime la perte totale du gène, dèmontrant son r</w:t>
            </w:r>
            <w:r w:rsidRPr="00EF57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essentiel dans l’amorçage de ce réseau de signalisation</w:t>
            </w:r>
            <w:r w:rsidRPr="003D67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657C64" w:rsidRPr="00657C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57C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Néanmoins, </w:t>
            </w:r>
            <w:r w:rsidR="008A16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s’il est indispensanle, le promoteur P2 n’est pas suffisant</w:t>
            </w:r>
            <w:r w:rsidR="008867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 conférer le patron si spécifique d’expression spatio-temporelle de ce gène</w:t>
            </w:r>
            <w:r w:rsidR="00B72C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l’embryon précoce</w:t>
            </w:r>
            <w:r w:rsidR="00B72C7C" w:rsidRPr="004F1E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B72C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592AA9" w14:textId="63FBE0B1" w:rsidR="003D6778" w:rsidRPr="003D6778" w:rsidRDefault="00B72C7C" w:rsidP="009812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Ceci est assuré par un «augmenteur»</w:t>
            </w:r>
            <w:r w:rsidR="008A16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récemment</w:t>
            </w:r>
            <w:r w:rsidR="003D67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identifié</w:t>
            </w:r>
            <w:r w:rsidR="00A86C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situé à distance du gènè</w:t>
            </w:r>
            <w:r w:rsidR="00A86C7B" w:rsidRPr="003C37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fonctions de 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Runx</w:t>
            </w:r>
            <w:r w:rsidR="0015454F"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développement sont assurées par l’activation de nombreux gènes cibles</w:t>
            </w:r>
            <w:r w:rsidR="0015454F" w:rsidRPr="003C37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L’un des principaux est PU-1, un autre gène maître de l’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hématopo</w:t>
            </w:r>
            <w:r w:rsidR="0015454F" w:rsidRPr="00595D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ï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èse, qui se lie à 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Runx</w:t>
            </w:r>
            <w:r w:rsidR="0015454F" w:rsidRPr="006638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 former des complexes activateurs ou répresseurs suivant les stades de la 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différenciation</w:t>
            </w:r>
            <w:r w:rsidR="0015454F" w:rsidRPr="003C37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1545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A86C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3D6778" w:rsidRPr="003D67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ADE6EFE" w14:textId="77777777" w:rsidR="003D6778" w:rsidRPr="00657C64" w:rsidRDefault="003D6778" w:rsidP="003D677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80" w:type="dxa"/>
          </w:tcPr>
          <w:p w14:paraId="25DE49C4" w14:textId="4867FB15" w:rsidR="003D6778" w:rsidRPr="00F465B6" w:rsidRDefault="003D6778" w:rsidP="003D6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биологическое действие </w:t>
            </w:r>
            <w:r w:rsidR="00E84B8F">
              <w:rPr>
                <w:rFonts w:ascii="Times New Roman" w:hAnsi="Times New Roman" w:cs="Times New Roman"/>
                <w:sz w:val="24"/>
                <w:szCs w:val="24"/>
              </w:rPr>
              <w:t xml:space="preserve">фактора транскрипции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иногда быть противоположным в разных типах клеток. Таким образом, повышенная экспрессия</w:t>
            </w:r>
            <w:r w:rsidRPr="00F4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будут стимулировать </w:t>
            </w:r>
            <w:r w:rsidR="0098125B">
              <w:rPr>
                <w:rFonts w:ascii="Times New Roman" w:hAnsi="Times New Roman" w:cs="Times New Roman"/>
                <w:sz w:val="24"/>
                <w:szCs w:val="24"/>
              </w:rPr>
              <w:t>трансформацию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 в раковые. Но напротив</w:t>
            </w:r>
            <w:r w:rsidR="007D4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эксцизия</w:t>
            </w:r>
            <w:r w:rsidRPr="0010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будет также способствовать возникновению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лимфоматоза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индуцированного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инфекцией! Аналогичным образом</w:t>
            </w:r>
            <w:r w:rsidR="00D9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7F8">
              <w:rPr>
                <w:rFonts w:ascii="Times New Roman" w:hAnsi="Times New Roman" w:cs="Times New Roman"/>
                <w:sz w:val="24"/>
                <w:szCs w:val="24"/>
              </w:rPr>
              <w:t>эксцизия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легком благоприятствует трансформации под действием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</w:t>
            </w:r>
            <w:r w:rsidRPr="00300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RasG</w:t>
            </w:r>
            <w:proofErr w:type="spellEnd"/>
            <w:r w:rsidRPr="00300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</w:t>
            </w:r>
            <w:r w:rsidRPr="00300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в зависимости от условий в клетках, повышенная или пониженная экспрессия </w:t>
            </w:r>
            <w:r w:rsidR="00C4471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C4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благоприятствовать преобразованию клеток в раковые. В функциональном отношении, </w:t>
            </w:r>
            <w:r w:rsidR="00FE224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воздействия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первичная гемопоэтическая дифференциация, биосинтез рибосом и клеточная пролиферация. Последняя контролируется при помощи </w:t>
            </w:r>
            <w:r w:rsidR="00A26071">
              <w:rPr>
                <w:rFonts w:ascii="Times New Roman" w:hAnsi="Times New Roman" w:cs="Times New Roman"/>
                <w:sz w:val="24"/>
                <w:szCs w:val="24"/>
              </w:rPr>
              <w:t xml:space="preserve">сигналов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</w:t>
            </w:r>
            <w:r w:rsidRPr="00844FD7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трансформирующего фактора роста бета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TGFβ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Эксцизия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летальна, фактически из-за полного отсутствия кровяных клеток. Экспрессия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</w:t>
            </w:r>
            <w:r w:rsidRPr="0041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vivo</w:t>
            </w:r>
            <w:r w:rsidRPr="0041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репортёрных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белков </w:t>
            </w:r>
            <w:r w:rsidRPr="00413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GFP</w:t>
            </w:r>
            <w:r w:rsidRPr="0041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галактозидазы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позволила определить области экспрессии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первых стадий эмбриогенеза.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проследить происхождение первых кровяных клеток начиная с желточного мешка до аорты эмбриона. Элегантные исследования позволили визуализировать</w:t>
            </w:r>
            <w:r w:rsidRPr="00B8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период между сосудистым эндотелием и первыми стволовыми гемопоэтическими клетками, переход в котором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 важнейшую роль. Как у червя-нематоды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405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elegans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инактивация партнера связывающего фактора ядра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CBFβ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то же действие, что и действие 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доказывая ключевую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гетеродимера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видообразовании гемопоэтических клеток.</w:t>
            </w:r>
            <w:r w:rsidRPr="002C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примечательно</w:t>
            </w:r>
            <w:r w:rsidR="00FA4E63" w:rsidRPr="00977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инактивация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имеет только незначительное действие, приводя лишь к медленной потере стволовых гемопоэтических клеток вследствие увеличения их спонтанной дифференц</w:t>
            </w:r>
            <w:r w:rsidR="00F62FA5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этот белок необходим при образовании клеток-прекурсоров, потом, в меньшей степени при обеспечении. Эксцизия Р2 имитирует полную потерю гена, доказывая его важнейшую роль в</w:t>
            </w:r>
            <w:r w:rsidR="009777C0" w:rsidRPr="0097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этой сети передачи сигналов. </w:t>
            </w:r>
            <w:r w:rsidR="00C57D6F">
              <w:rPr>
                <w:rFonts w:ascii="Times New Roman" w:hAnsi="Times New Roman" w:cs="Times New Roman"/>
                <w:sz w:val="24"/>
                <w:szCs w:val="24"/>
              </w:rPr>
              <w:t xml:space="preserve">Тем не менее если это необходимо, </w:t>
            </w:r>
            <w:r w:rsidR="00274F11">
              <w:rPr>
                <w:rFonts w:ascii="Times New Roman" w:hAnsi="Times New Roman" w:cs="Times New Roman"/>
                <w:sz w:val="24"/>
                <w:szCs w:val="24"/>
              </w:rPr>
              <w:t>гена-</w:t>
            </w:r>
            <w:proofErr w:type="spellStart"/>
            <w:r w:rsidR="00274F11">
              <w:rPr>
                <w:rFonts w:ascii="Times New Roman" w:hAnsi="Times New Roman" w:cs="Times New Roman"/>
                <w:sz w:val="24"/>
                <w:szCs w:val="24"/>
              </w:rPr>
              <w:t>промотера</w:t>
            </w:r>
            <w:proofErr w:type="spellEnd"/>
            <w:r w:rsidR="00274F11">
              <w:rPr>
                <w:rFonts w:ascii="Times New Roman" w:hAnsi="Times New Roman" w:cs="Times New Roman"/>
                <w:sz w:val="24"/>
                <w:szCs w:val="24"/>
              </w:rPr>
              <w:t xml:space="preserve"> Р2 недостаточно для </w:t>
            </w:r>
            <w:r w:rsidR="0006097B">
              <w:rPr>
                <w:rFonts w:ascii="Times New Roman" w:hAnsi="Times New Roman" w:cs="Times New Roman"/>
                <w:sz w:val="24"/>
                <w:szCs w:val="24"/>
              </w:rPr>
              <w:t xml:space="preserve">того, чтобы обеспечить </w:t>
            </w:r>
            <w:r w:rsidR="00B94082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="0006097B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специфический пространственно-временной паттерн экспрессии</w:t>
            </w:r>
            <w:r w:rsidR="00D9142D">
              <w:rPr>
                <w:rFonts w:ascii="Times New Roman" w:hAnsi="Times New Roman" w:cs="Times New Roman"/>
                <w:sz w:val="24"/>
                <w:szCs w:val="24"/>
              </w:rPr>
              <w:t xml:space="preserve"> этого гена в</w:t>
            </w:r>
            <w:r w:rsidR="00B94082" w:rsidRPr="00B9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082">
              <w:rPr>
                <w:rFonts w:ascii="Times New Roman" w:hAnsi="Times New Roman" w:cs="Times New Roman"/>
                <w:sz w:val="24"/>
                <w:szCs w:val="24"/>
              </w:rPr>
              <w:t>раннем эмбрионе</w:t>
            </w:r>
            <w:r w:rsidR="00B94082" w:rsidRPr="00B9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6E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обеспечивается </w:t>
            </w:r>
            <w:r w:rsidR="004240E3">
              <w:rPr>
                <w:rFonts w:ascii="Times New Roman" w:hAnsi="Times New Roman" w:cs="Times New Roman"/>
                <w:sz w:val="24"/>
                <w:szCs w:val="24"/>
              </w:rPr>
              <w:t xml:space="preserve">недавно 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обнаруженным </w:t>
            </w:r>
            <w:r w:rsidR="00A25948">
              <w:rPr>
                <w:rFonts w:ascii="Times New Roman" w:hAnsi="Times New Roman" w:cs="Times New Roman"/>
                <w:sz w:val="24"/>
                <w:szCs w:val="24"/>
              </w:rPr>
              <w:t>«ускорителем»</w:t>
            </w:r>
            <w:r w:rsidR="004240E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расположенным 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>на некотором расстоянии от гена</w:t>
            </w:r>
            <w:r w:rsidR="00290D36" w:rsidRPr="00290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proofErr w:type="spellStart"/>
            <w:r w:rsidR="00290D3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="00290D36"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7706B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>его развити</w:t>
            </w:r>
            <w:r w:rsidR="0067706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635ED">
              <w:rPr>
                <w:rFonts w:ascii="Times New Roman" w:hAnsi="Times New Roman" w:cs="Times New Roman"/>
                <w:sz w:val="24"/>
                <w:szCs w:val="24"/>
              </w:rPr>
              <w:t>поддерживаются активацией многочисленных генов-мишеней</w:t>
            </w:r>
            <w:r w:rsidR="008635ED" w:rsidRPr="00863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F2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главных является </w:t>
            </w:r>
            <w:r w:rsidR="00C87E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</w:t>
            </w:r>
            <w:r w:rsidR="00C87EF2" w:rsidRPr="00F156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87EF2">
              <w:rPr>
                <w:rFonts w:ascii="Times New Roman" w:hAnsi="Times New Roman" w:cs="Times New Roman"/>
                <w:sz w:val="24"/>
                <w:szCs w:val="24"/>
              </w:rPr>
              <w:t>, другой ген</w:t>
            </w:r>
            <w:r w:rsidR="00F15691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ген гемопоэза, который связывается с </w:t>
            </w:r>
            <w:proofErr w:type="spellStart"/>
            <w:r w:rsidR="00F156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Runx</w:t>
            </w:r>
            <w:proofErr w:type="spellEnd"/>
            <w:r w:rsidR="00F15691" w:rsidRPr="00F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7A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</w:t>
            </w:r>
            <w:r w:rsidR="00B45E1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комплексов-активаторов или </w:t>
            </w:r>
            <w:r w:rsidR="00727B8F">
              <w:rPr>
                <w:rFonts w:ascii="Times New Roman" w:hAnsi="Times New Roman" w:cs="Times New Roman"/>
                <w:sz w:val="24"/>
                <w:szCs w:val="24"/>
              </w:rPr>
              <w:t xml:space="preserve">репрессоров </w:t>
            </w:r>
            <w:r w:rsidR="00AC1C11">
              <w:rPr>
                <w:rFonts w:ascii="Times New Roman" w:hAnsi="Times New Roman" w:cs="Times New Roman"/>
                <w:sz w:val="24"/>
                <w:szCs w:val="24"/>
              </w:rPr>
              <w:t>в зависимости от стадий дифференци</w:t>
            </w:r>
            <w:r w:rsidR="00F62FA5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r w:rsidR="00AC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6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4F" w:rsidRPr="0015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5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4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4B7CD" w14:textId="77777777" w:rsidR="003D6778" w:rsidRPr="003D6778" w:rsidRDefault="003D6778" w:rsidP="003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A8149" w14:textId="44DEAC74" w:rsidR="004F1ECC" w:rsidRPr="003D6778" w:rsidRDefault="004F1ECC" w:rsidP="0015454F">
      <w:pPr>
        <w:rPr>
          <w:rFonts w:ascii="Times New Roman" w:hAnsi="Times New Roman" w:cs="Times New Roman"/>
          <w:sz w:val="24"/>
          <w:szCs w:val="24"/>
        </w:rPr>
      </w:pPr>
    </w:p>
    <w:sectPr w:rsidR="004F1ECC" w:rsidRPr="003D6778" w:rsidSect="0098125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D6"/>
    <w:rsid w:val="00007BEC"/>
    <w:rsid w:val="00050010"/>
    <w:rsid w:val="0006097B"/>
    <w:rsid w:val="00090662"/>
    <w:rsid w:val="000A07D3"/>
    <w:rsid w:val="000A1883"/>
    <w:rsid w:val="000A304D"/>
    <w:rsid w:val="000A51BF"/>
    <w:rsid w:val="000B404F"/>
    <w:rsid w:val="000B507A"/>
    <w:rsid w:val="000D2F40"/>
    <w:rsid w:val="0010658A"/>
    <w:rsid w:val="00111432"/>
    <w:rsid w:val="0015454F"/>
    <w:rsid w:val="0016591B"/>
    <w:rsid w:val="00174C4E"/>
    <w:rsid w:val="0017575C"/>
    <w:rsid w:val="001B278F"/>
    <w:rsid w:val="001C70C5"/>
    <w:rsid w:val="002009F3"/>
    <w:rsid w:val="00237C46"/>
    <w:rsid w:val="00247B13"/>
    <w:rsid w:val="00274F11"/>
    <w:rsid w:val="00286932"/>
    <w:rsid w:val="00290D36"/>
    <w:rsid w:val="002C2222"/>
    <w:rsid w:val="002E4984"/>
    <w:rsid w:val="002F2728"/>
    <w:rsid w:val="00300964"/>
    <w:rsid w:val="0030422A"/>
    <w:rsid w:val="003602E5"/>
    <w:rsid w:val="00373A94"/>
    <w:rsid w:val="003A58DC"/>
    <w:rsid w:val="003C1A1A"/>
    <w:rsid w:val="003C378D"/>
    <w:rsid w:val="003D6778"/>
    <w:rsid w:val="003F5B5D"/>
    <w:rsid w:val="00405DB0"/>
    <w:rsid w:val="00413B90"/>
    <w:rsid w:val="0041670B"/>
    <w:rsid w:val="004240E3"/>
    <w:rsid w:val="004326AE"/>
    <w:rsid w:val="00447AAD"/>
    <w:rsid w:val="004501C9"/>
    <w:rsid w:val="004624A7"/>
    <w:rsid w:val="00466EAD"/>
    <w:rsid w:val="004B32BF"/>
    <w:rsid w:val="004E3BDF"/>
    <w:rsid w:val="004F1ECC"/>
    <w:rsid w:val="00503E75"/>
    <w:rsid w:val="00503F0B"/>
    <w:rsid w:val="005121C0"/>
    <w:rsid w:val="00514D2F"/>
    <w:rsid w:val="00521526"/>
    <w:rsid w:val="00567648"/>
    <w:rsid w:val="00572F9F"/>
    <w:rsid w:val="00592DF1"/>
    <w:rsid w:val="00595D77"/>
    <w:rsid w:val="005B0BEF"/>
    <w:rsid w:val="005C6A5C"/>
    <w:rsid w:val="005C744D"/>
    <w:rsid w:val="005F6769"/>
    <w:rsid w:val="00657C64"/>
    <w:rsid w:val="006638E3"/>
    <w:rsid w:val="0067706B"/>
    <w:rsid w:val="006C0CC1"/>
    <w:rsid w:val="006C3FD6"/>
    <w:rsid w:val="006D3A22"/>
    <w:rsid w:val="006F1850"/>
    <w:rsid w:val="00715968"/>
    <w:rsid w:val="0072108A"/>
    <w:rsid w:val="00727B8F"/>
    <w:rsid w:val="00775326"/>
    <w:rsid w:val="0077767E"/>
    <w:rsid w:val="007B40F8"/>
    <w:rsid w:val="007D4602"/>
    <w:rsid w:val="007D61A8"/>
    <w:rsid w:val="007E66C2"/>
    <w:rsid w:val="007E6F75"/>
    <w:rsid w:val="0080415C"/>
    <w:rsid w:val="00844FD7"/>
    <w:rsid w:val="008459D6"/>
    <w:rsid w:val="008635ED"/>
    <w:rsid w:val="008650E4"/>
    <w:rsid w:val="00886718"/>
    <w:rsid w:val="008A0C9E"/>
    <w:rsid w:val="008A1679"/>
    <w:rsid w:val="008C38C5"/>
    <w:rsid w:val="00904734"/>
    <w:rsid w:val="00910DD1"/>
    <w:rsid w:val="009279EB"/>
    <w:rsid w:val="009336CC"/>
    <w:rsid w:val="00956921"/>
    <w:rsid w:val="0096408F"/>
    <w:rsid w:val="009777C0"/>
    <w:rsid w:val="0098125B"/>
    <w:rsid w:val="009B50E1"/>
    <w:rsid w:val="009D05CD"/>
    <w:rsid w:val="009F31E6"/>
    <w:rsid w:val="009F4CA5"/>
    <w:rsid w:val="00A005CC"/>
    <w:rsid w:val="00A12219"/>
    <w:rsid w:val="00A25948"/>
    <w:rsid w:val="00A26071"/>
    <w:rsid w:val="00A33035"/>
    <w:rsid w:val="00A84056"/>
    <w:rsid w:val="00A86C7B"/>
    <w:rsid w:val="00A90F0B"/>
    <w:rsid w:val="00AC1C11"/>
    <w:rsid w:val="00AD73C3"/>
    <w:rsid w:val="00AE1BE8"/>
    <w:rsid w:val="00B31F2D"/>
    <w:rsid w:val="00B45E17"/>
    <w:rsid w:val="00B57C6D"/>
    <w:rsid w:val="00B67ED3"/>
    <w:rsid w:val="00B72C7C"/>
    <w:rsid w:val="00B86BB6"/>
    <w:rsid w:val="00B94082"/>
    <w:rsid w:val="00BC0F20"/>
    <w:rsid w:val="00BD2096"/>
    <w:rsid w:val="00C2126E"/>
    <w:rsid w:val="00C23F9F"/>
    <w:rsid w:val="00C344E1"/>
    <w:rsid w:val="00C4471F"/>
    <w:rsid w:val="00C57D6F"/>
    <w:rsid w:val="00C66919"/>
    <w:rsid w:val="00C85E52"/>
    <w:rsid w:val="00C87EF2"/>
    <w:rsid w:val="00CD5491"/>
    <w:rsid w:val="00CE0E1E"/>
    <w:rsid w:val="00CE0EFE"/>
    <w:rsid w:val="00D051CF"/>
    <w:rsid w:val="00D837B5"/>
    <w:rsid w:val="00D9142D"/>
    <w:rsid w:val="00D917F8"/>
    <w:rsid w:val="00DA7C7E"/>
    <w:rsid w:val="00DC01AF"/>
    <w:rsid w:val="00E43CA8"/>
    <w:rsid w:val="00E456ED"/>
    <w:rsid w:val="00E84B8F"/>
    <w:rsid w:val="00EA3D56"/>
    <w:rsid w:val="00EF57E0"/>
    <w:rsid w:val="00F06908"/>
    <w:rsid w:val="00F06BBB"/>
    <w:rsid w:val="00F15691"/>
    <w:rsid w:val="00F465B6"/>
    <w:rsid w:val="00F469A7"/>
    <w:rsid w:val="00F46B8C"/>
    <w:rsid w:val="00F50EDB"/>
    <w:rsid w:val="00F54ED4"/>
    <w:rsid w:val="00F62FA5"/>
    <w:rsid w:val="00F96ADF"/>
    <w:rsid w:val="00FA4E63"/>
    <w:rsid w:val="00FE009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D077"/>
  <w15:chartTrackingRefBased/>
  <w15:docId w15:val="{EDA18546-A6A2-42E1-AD66-AB63120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F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C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F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93;&#1100;&#1102;&#1075;&#1077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zapzapov2@gmail.com</dc:creator>
  <cp:keywords/>
  <dc:description/>
  <cp:lastModifiedBy>zapzapov2@gmail.com</cp:lastModifiedBy>
  <cp:revision>32</cp:revision>
  <dcterms:created xsi:type="dcterms:W3CDTF">2024-03-17T07:18:00Z</dcterms:created>
  <dcterms:modified xsi:type="dcterms:W3CDTF">2024-03-17T08:30:00Z</dcterms:modified>
</cp:coreProperties>
</file>