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B1" w:rsidRDefault="00E756B1" w:rsidP="00E756B1">
      <w:pPr>
        <w:spacing w:after="0" w:line="240" w:lineRule="auto"/>
        <w:rPr>
          <w:rFonts w:ascii="Arial" w:eastAsia="Times New Roman" w:hAnsi="Arial" w:cs="Arial"/>
          <w:sz w:val="45"/>
          <w:szCs w:val="45"/>
          <w:lang w:val="en-US" w:eastAsia="ru-RU"/>
        </w:rPr>
      </w:pPr>
      <w:r w:rsidRPr="00E756B1">
        <w:rPr>
          <w:rFonts w:ascii="Arial" w:eastAsia="Times New Roman" w:hAnsi="Arial" w:cs="Arial"/>
          <w:sz w:val="45"/>
          <w:szCs w:val="45"/>
          <w:lang w:val="en-US" w:eastAsia="ru-RU"/>
        </w:rPr>
        <w:t>Product Information</w:t>
      </w:r>
    </w:p>
    <w:p w:rsidR="00E756B1" w:rsidRPr="00E756B1" w:rsidRDefault="00E756B1" w:rsidP="00E756B1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Formula</w:t>
      </w:r>
      <w:r w:rsidR="00D2252D" w:rsidRPr="00D2252D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 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C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6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14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O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4</w:t>
      </w:r>
    </w:p>
    <w:p w:rsidR="00E756B1" w:rsidRPr="00E756B1" w:rsidRDefault="00E756B1" w:rsidP="00E756B1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Molecular Formula HOCH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CH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D2252D">
        <w:rPr>
          <w:rFonts w:ascii="Arial" w:eastAsia="Times New Roman" w:hAnsi="Arial" w:cs="Arial"/>
          <w:sz w:val="27"/>
          <w:szCs w:val="27"/>
          <w:lang w:val="en-US" w:eastAsia="ru-RU"/>
        </w:rPr>
        <w:t>OCH</w:t>
      </w:r>
      <w:r w:rsidRPr="00D2252D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D2252D">
        <w:rPr>
          <w:rFonts w:ascii="Arial" w:eastAsia="Times New Roman" w:hAnsi="Arial" w:cs="Arial"/>
          <w:sz w:val="27"/>
          <w:szCs w:val="27"/>
          <w:lang w:val="en-US" w:eastAsia="ru-RU"/>
        </w:rPr>
        <w:t>CH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OCH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>CH</w:t>
      </w:r>
      <w:r w:rsidRPr="00E756B1">
        <w:rPr>
          <w:rFonts w:ascii="Arial" w:eastAsia="Times New Roman" w:hAnsi="Arial" w:cs="Arial"/>
          <w:sz w:val="16"/>
          <w:szCs w:val="16"/>
          <w:lang w:val="en-US" w:eastAsia="ru-RU"/>
        </w:rPr>
        <w:t>2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 xml:space="preserve">OH </w:t>
      </w:r>
    </w:p>
    <w:p w:rsidR="00E756B1" w:rsidRPr="00E756B1" w:rsidRDefault="00E756B1" w:rsidP="00E756B1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 xml:space="preserve">CAS Number </w:t>
      </w:r>
      <w:r w:rsidR="00D2252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E756B1">
        <w:rPr>
          <w:rFonts w:ascii="Arial" w:eastAsia="Times New Roman" w:hAnsi="Arial" w:cs="Arial"/>
          <w:sz w:val="27"/>
          <w:szCs w:val="27"/>
          <w:lang w:val="en-US" w:eastAsia="ru-RU"/>
        </w:rPr>
        <w:t xml:space="preserve">112-27-6 </w:t>
      </w:r>
    </w:p>
    <w:p w:rsidR="00D2252D" w:rsidRDefault="00D2252D" w:rsidP="00E756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E756B1" w:rsidRPr="00E756B1" w:rsidRDefault="00E756B1" w:rsidP="00E756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Triethylene glycol is a transparent, colorless, low-volatility, moderate-viscosity, water-soluble liquid.</w:t>
      </w:r>
      <w:r w:rsidR="00D2252D" w:rsidRP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Under normal conditions, there is no detectable odor; under high vapor concentrations, a slightly sweet odor may be detected.</w:t>
      </w:r>
      <w:r w:rsidR="00D2252D" w:rsidRP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It is completely miscible with water and many organic liquids.</w:t>
      </w:r>
      <w:r w:rsidR="00D2252D" w:rsidRP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Triethylene glycol has properties similar to 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ther glycols and may be used preferentially in applications requiring a higher boiling point, higher molecular weight, or lower volatility than </w:t>
      </w:r>
      <w:r w:rsidRP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diethylene glycol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="00D2252D" w:rsidRP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The hydroxyl groups on triethylene glycol undergo the usual alcohol chemistry giving a wide 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ariety of possible derivatives.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Hydroxyls can be converted to aldehydes, alkyl 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alides, amines, azides, carboxylic acids, ethers, mercaptans, nitrate esters, nitriles, nitrite esters, organic esters, peroxides, phosphate esters and sulfate esters.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Triethylene glycol may be used directly as a plasticizer or modified by esterification.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solubility properties of triethylene glycol are important for many applications.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</w:p>
    <w:p w:rsidR="00E756B1" w:rsidRPr="00E756B1" w:rsidRDefault="00E756B1" w:rsidP="00E756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End-uses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for triethylene glycol are numerous.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eastAsia="ru-RU"/>
        </w:rPr>
        <w:t>(See</w:t>
      </w:r>
      <w:r w:rsidR="00D225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E756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Table 1.) </w:t>
      </w:r>
    </w:p>
    <w:p w:rsidR="00E756B1" w:rsidRDefault="00E756B1" w:rsidP="00E756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D2252D" w:rsidRPr="00850C06" w:rsidRDefault="00D2252D" w:rsidP="00D2252D">
      <w:pPr>
        <w:rPr>
          <w:rFonts w:ascii="Cambria" w:hAnsi="Cambria"/>
          <w:sz w:val="24"/>
          <w:szCs w:val="24"/>
        </w:rPr>
      </w:pPr>
      <w:r w:rsidRPr="00850C06">
        <w:rPr>
          <w:rFonts w:ascii="Cambria" w:hAnsi="Cambria"/>
          <w:sz w:val="24"/>
          <w:szCs w:val="24"/>
        </w:rPr>
        <w:t>Информация о продукте</w:t>
      </w:r>
    </w:p>
    <w:p w:rsidR="00D2252D" w:rsidRDefault="00D2252D" w:rsidP="00D2252D">
      <w:pPr>
        <w:contextualSpacing/>
        <w:rPr>
          <w:sz w:val="20"/>
          <w:szCs w:val="20"/>
        </w:rPr>
      </w:pPr>
      <w:r w:rsidRPr="00850C06">
        <w:rPr>
          <w:rFonts w:ascii="Cambria" w:hAnsi="Cambria"/>
          <w:sz w:val="24"/>
          <w:szCs w:val="24"/>
        </w:rPr>
        <w:t>Фор</w:t>
      </w:r>
      <w:bookmarkStart w:id="0" w:name="_GoBack"/>
      <w:bookmarkEnd w:id="0"/>
      <w:r w:rsidRPr="00850C06">
        <w:rPr>
          <w:rFonts w:ascii="Cambria" w:hAnsi="Cambria"/>
          <w:sz w:val="24"/>
          <w:szCs w:val="24"/>
        </w:rPr>
        <w:t xml:space="preserve">мула: </w:t>
      </w:r>
      <w:r>
        <w:rPr>
          <w:rFonts w:ascii="Cambria" w:hAnsi="Cambria"/>
          <w:sz w:val="24"/>
          <w:szCs w:val="24"/>
        </w:rPr>
        <w:t xml:space="preserve"> 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C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6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14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O</w:t>
      </w:r>
      <w:r w:rsidRPr="00675AAA">
        <w:rPr>
          <w:sz w:val="20"/>
          <w:szCs w:val="20"/>
        </w:rPr>
        <w:t>4</w:t>
      </w:r>
    </w:p>
    <w:p w:rsidR="00D2252D" w:rsidRPr="00850C06" w:rsidRDefault="00D2252D" w:rsidP="00D2252D">
      <w:pPr>
        <w:contextualSpacing/>
        <w:rPr>
          <w:rFonts w:ascii="Cambria" w:hAnsi="Cambria"/>
          <w:sz w:val="24"/>
          <w:szCs w:val="24"/>
        </w:rPr>
      </w:pPr>
      <w:r w:rsidRPr="00850C06">
        <w:rPr>
          <w:rFonts w:ascii="Cambria" w:hAnsi="Cambria"/>
          <w:sz w:val="24"/>
          <w:szCs w:val="24"/>
        </w:rPr>
        <w:t>Молекулярная формула:</w:t>
      </w:r>
      <w:r>
        <w:rPr>
          <w:rFonts w:ascii="Cambria" w:hAnsi="Cambria"/>
          <w:sz w:val="24"/>
          <w:szCs w:val="24"/>
        </w:rPr>
        <w:t xml:space="preserve"> 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HOCH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OCH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OCH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>CH</w:t>
      </w:r>
      <w:r w:rsidRPr="00675AAA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Pr="00675AAA">
        <w:rPr>
          <w:rFonts w:ascii="Arial" w:eastAsia="Times New Roman" w:hAnsi="Arial" w:cs="Arial"/>
          <w:sz w:val="27"/>
          <w:szCs w:val="27"/>
          <w:lang w:eastAsia="ru-RU"/>
        </w:rPr>
        <w:t xml:space="preserve">OH </w:t>
      </w:r>
    </w:p>
    <w:p w:rsidR="00D2252D" w:rsidRDefault="00D2252D" w:rsidP="00D2252D">
      <w:pPr>
        <w:contextualSpacing/>
        <w:rPr>
          <w:rFonts w:ascii="Cambria" w:hAnsi="Cambria"/>
          <w:sz w:val="24"/>
          <w:szCs w:val="24"/>
        </w:rPr>
      </w:pPr>
      <w:r w:rsidRPr="00850C06">
        <w:rPr>
          <w:rFonts w:ascii="Cambria" w:hAnsi="Cambria"/>
          <w:sz w:val="24"/>
          <w:szCs w:val="24"/>
        </w:rPr>
        <w:t>Регистрационный номер CAS:</w:t>
      </w:r>
      <w:r>
        <w:rPr>
          <w:rFonts w:ascii="Cambria" w:hAnsi="Cambria"/>
          <w:sz w:val="24"/>
          <w:szCs w:val="24"/>
        </w:rPr>
        <w:t xml:space="preserve"> 112-27-6</w:t>
      </w:r>
    </w:p>
    <w:p w:rsidR="00D2252D" w:rsidRPr="00850C06" w:rsidRDefault="00D2252D" w:rsidP="00D2252D">
      <w:pPr>
        <w:contextualSpacing/>
        <w:rPr>
          <w:rFonts w:ascii="Cambria" w:hAnsi="Cambria"/>
          <w:sz w:val="24"/>
          <w:szCs w:val="24"/>
        </w:rPr>
      </w:pPr>
    </w:p>
    <w:p w:rsidR="00D2252D" w:rsidRPr="00D2252D" w:rsidRDefault="00D2252D" w:rsidP="00D2252D">
      <w:pPr>
        <w:contextualSpacing/>
        <w:rPr>
          <w:rFonts w:ascii="Cambria" w:hAnsi="Cambria"/>
          <w:sz w:val="24"/>
          <w:szCs w:val="24"/>
        </w:rPr>
      </w:pPr>
      <w:r w:rsidRPr="00D2252D">
        <w:rPr>
          <w:rFonts w:ascii="Cambria" w:hAnsi="Cambria"/>
          <w:sz w:val="24"/>
          <w:szCs w:val="24"/>
        </w:rPr>
        <w:t>Триэтиленгликоль представляет собой прозрачную, бесцветную, низколетучую, умеренно вязкую, растворимую в воде жидкость.   В нормальных условиях она не имеет различимого запаха; в условиях повышенной концентрации пара может появиться едва различимый запах. Триэтиленгликоль полностью смешиваем с водой и многими органическими жидкостями. Он имеет характеристики, сходные с характеристиками других гликолей и может быть использован в тех случаях, когда необходима более высокая температура кипения, большая молекулярная масса или более низкая летучесть в сравнении с диэтиленгликолем.</w:t>
      </w:r>
    </w:p>
    <w:p w:rsidR="00D2252D" w:rsidRPr="00D2252D" w:rsidRDefault="00D2252D" w:rsidP="00D2252D">
      <w:pPr>
        <w:contextualSpacing/>
        <w:rPr>
          <w:rFonts w:ascii="Cambria" w:hAnsi="Cambria"/>
          <w:sz w:val="24"/>
          <w:szCs w:val="24"/>
        </w:rPr>
      </w:pPr>
      <w:r w:rsidRPr="00D2252D">
        <w:rPr>
          <w:rFonts w:ascii="Cambria" w:hAnsi="Cambria"/>
          <w:sz w:val="24"/>
          <w:szCs w:val="24"/>
        </w:rPr>
        <w:t xml:space="preserve">Гидроксильные группы триэтиленгликоля вступают в реакции в соответствии с химией спиртов, образуя широкий ряд возможных производных. Гидроксильные группы могут быть преобразованы в альдегиды, алкилгалогениды, амины, азиды, карбоксильные кислоты, простые </w:t>
      </w:r>
      <w:r w:rsidRPr="00D2252D">
        <w:rPr>
          <w:rFonts w:ascii="Cambria" w:hAnsi="Cambria"/>
          <w:sz w:val="24"/>
          <w:szCs w:val="24"/>
        </w:rPr>
        <w:t>эфиры, меркаптаны</w:t>
      </w:r>
      <w:r w:rsidRPr="00D2252D">
        <w:rPr>
          <w:rFonts w:ascii="Cambria" w:hAnsi="Cambria"/>
          <w:sz w:val="24"/>
          <w:szCs w:val="24"/>
        </w:rPr>
        <w:t>, нитраты, нитрилы, нитриты, органические эфиры, пероксиды, фосфаты и сульфаты.</w:t>
      </w:r>
    </w:p>
    <w:p w:rsidR="00D2252D" w:rsidRPr="00C61556" w:rsidRDefault="00D2252D" w:rsidP="00D2252D">
      <w:pPr>
        <w:contextualSpacing/>
        <w:rPr>
          <w:rFonts w:ascii="Cambria" w:hAnsi="Cambria"/>
          <w:sz w:val="24"/>
          <w:szCs w:val="24"/>
        </w:rPr>
      </w:pPr>
      <w:r w:rsidRPr="00D2252D">
        <w:rPr>
          <w:rFonts w:ascii="Cambria" w:hAnsi="Cambria"/>
          <w:sz w:val="24"/>
          <w:szCs w:val="24"/>
        </w:rPr>
        <w:t>Триэтиленгликоль можно использовать напрямую как пластификатор или модифицировать путем этерификации. Такое свойство триэтиленьгликоля, как растворимость, очень важно для многих сфер его применения. Сферы применения триэтиленгликоля многочисленны. (См. Таблицу 1)</w:t>
      </w:r>
      <w:r>
        <w:rPr>
          <w:rFonts w:ascii="Cambria" w:hAnsi="Cambria"/>
          <w:sz w:val="24"/>
          <w:szCs w:val="24"/>
          <w:lang w:val="en-US"/>
        </w:rPr>
        <w:t>.</w:t>
      </w:r>
      <w:r w:rsidRPr="00D2252D">
        <w:rPr>
          <w:rFonts w:ascii="Cambria" w:hAnsi="Cambria"/>
          <w:sz w:val="24"/>
          <w:szCs w:val="24"/>
        </w:rPr>
        <w:t xml:space="preserve"> </w:t>
      </w:r>
    </w:p>
    <w:p w:rsidR="00D2252D" w:rsidRPr="00E756B1" w:rsidRDefault="00D2252D" w:rsidP="00E756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AA4DA7" w:rsidRPr="00E756B1" w:rsidRDefault="00AA4DA7">
      <w:pPr>
        <w:rPr>
          <w:lang w:val="en-US"/>
        </w:rPr>
      </w:pPr>
    </w:p>
    <w:sectPr w:rsidR="00AA4DA7" w:rsidRPr="00E7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1"/>
    <w:rsid w:val="00AA4DA7"/>
    <w:rsid w:val="00D2252D"/>
    <w:rsid w:val="00E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9B62-108F-4521-9C41-C7990A9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E5771G</dc:creator>
  <cp:keywords/>
  <dc:description/>
  <cp:lastModifiedBy>Arthur</cp:lastModifiedBy>
  <cp:revision>2</cp:revision>
  <dcterms:created xsi:type="dcterms:W3CDTF">2016-11-13T14:15:00Z</dcterms:created>
  <dcterms:modified xsi:type="dcterms:W3CDTF">2016-11-13T14:15:00Z</dcterms:modified>
</cp:coreProperties>
</file>