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7E" w:rsidRDefault="00F93A7E" w:rsidP="00F93A7E">
      <w:pPr>
        <w:spacing w:after="0" w:line="240" w:lineRule="auto"/>
        <w:rPr>
          <w:rFonts w:ascii="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V w:val="single" w:sz="4" w:space="0" w:color="000000"/>
        </w:tblBorders>
        <w:tblCellMar>
          <w:left w:w="57" w:type="dxa"/>
          <w:right w:w="57" w:type="dxa"/>
        </w:tblCellMar>
        <w:tblLook w:val="04A0" w:firstRow="1" w:lastRow="0" w:firstColumn="1" w:lastColumn="0" w:noHBand="0" w:noVBand="1"/>
      </w:tblPr>
      <w:tblGrid>
        <w:gridCol w:w="4734"/>
        <w:gridCol w:w="4735"/>
      </w:tblGrid>
      <w:tr w:rsidR="00EE0FF2" w:rsidRPr="00EE2880" w:rsidTr="00EE2880">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EE0FF2" w:rsidRPr="00EE0FF2" w:rsidRDefault="00EE0FF2" w:rsidP="001420FE">
            <w:pPr>
              <w:spacing w:after="0" w:line="240" w:lineRule="auto"/>
              <w:jc w:val="center"/>
              <w:rPr>
                <w:rFonts w:ascii="Times New Roman" w:hAnsi="Times New Roman"/>
                <w:b/>
                <w:sz w:val="24"/>
              </w:rPr>
            </w:pPr>
            <w:r>
              <w:rPr>
                <w:rFonts w:ascii="Times New Roman" w:hAnsi="Times New Roman"/>
                <w:b/>
                <w:sz w:val="24"/>
              </w:rPr>
              <w:t>Оригинал</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EE0FF2" w:rsidRPr="0060310B" w:rsidRDefault="00EE0FF2" w:rsidP="00EE2880">
            <w:pPr>
              <w:spacing w:after="0" w:line="240" w:lineRule="auto"/>
              <w:jc w:val="center"/>
              <w:rPr>
                <w:rFonts w:ascii="Times New Roman" w:hAnsi="Times New Roman"/>
                <w:b/>
                <w:sz w:val="24"/>
              </w:rPr>
            </w:pPr>
            <w:r>
              <w:rPr>
                <w:rFonts w:ascii="Times New Roman" w:hAnsi="Times New Roman"/>
                <w:b/>
                <w:sz w:val="24"/>
              </w:rPr>
              <w:t>Перевод</w:t>
            </w:r>
          </w:p>
        </w:tc>
      </w:tr>
      <w:tr w:rsidR="00804981" w:rsidRPr="00EE2880" w:rsidTr="00EE2880">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804981" w:rsidRPr="001420FE" w:rsidRDefault="00804981" w:rsidP="001420FE">
            <w:pPr>
              <w:spacing w:after="0" w:line="240" w:lineRule="auto"/>
              <w:jc w:val="center"/>
              <w:rPr>
                <w:rFonts w:ascii="Times New Roman" w:hAnsi="Times New Roman"/>
                <w:b/>
                <w:sz w:val="24"/>
                <w:lang w:val="en-US"/>
              </w:rPr>
            </w:pPr>
            <w:r w:rsidRPr="001420FE">
              <w:rPr>
                <w:rFonts w:ascii="Times New Roman" w:hAnsi="Times New Roman"/>
                <w:b/>
                <w:sz w:val="24"/>
                <w:lang w:val="en-US"/>
              </w:rPr>
              <w:t>STANDARD TERMS AND CONDITIONS (EDITION 2008/2)</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804981" w:rsidRPr="0060310B" w:rsidRDefault="00EE2880" w:rsidP="00EE2880">
            <w:pPr>
              <w:spacing w:after="0" w:line="240" w:lineRule="auto"/>
              <w:jc w:val="center"/>
              <w:rPr>
                <w:rFonts w:ascii="Times New Roman" w:hAnsi="Times New Roman"/>
                <w:b/>
                <w:sz w:val="24"/>
              </w:rPr>
            </w:pPr>
            <w:r w:rsidRPr="0060310B">
              <w:rPr>
                <w:rFonts w:ascii="Times New Roman" w:hAnsi="Times New Roman"/>
                <w:b/>
                <w:sz w:val="24"/>
              </w:rPr>
              <w:t>СТАНДАРТНЫЕ ПОЛОЖЕНИЯ И УСЛОВИЯ</w:t>
            </w:r>
          </w:p>
          <w:p w:rsidR="00EE2880" w:rsidRPr="0060310B" w:rsidRDefault="00EE2880" w:rsidP="00EE2880">
            <w:pPr>
              <w:spacing w:after="0" w:line="240" w:lineRule="auto"/>
              <w:jc w:val="center"/>
              <w:rPr>
                <w:rFonts w:ascii="Times New Roman" w:hAnsi="Times New Roman"/>
                <w:b/>
                <w:sz w:val="24"/>
              </w:rPr>
            </w:pPr>
            <w:r w:rsidRPr="0060310B">
              <w:rPr>
                <w:rFonts w:ascii="Times New Roman" w:hAnsi="Times New Roman"/>
                <w:b/>
                <w:sz w:val="24"/>
              </w:rPr>
              <w:t>(</w:t>
            </w:r>
            <w:r>
              <w:rPr>
                <w:rFonts w:ascii="Times New Roman" w:hAnsi="Times New Roman"/>
                <w:b/>
                <w:sz w:val="24"/>
              </w:rPr>
              <w:t>ВЕРСИЯ</w:t>
            </w:r>
            <w:r w:rsidRPr="0060310B">
              <w:rPr>
                <w:rFonts w:ascii="Times New Roman" w:hAnsi="Times New Roman"/>
                <w:b/>
                <w:sz w:val="24"/>
              </w:rPr>
              <w:t xml:space="preserve"> 2008/2)</w:t>
            </w:r>
          </w:p>
        </w:tc>
      </w:tr>
      <w:tr w:rsidR="00804981" w:rsidRPr="00EE2880" w:rsidTr="00EE2880">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804981" w:rsidRPr="001420FE" w:rsidRDefault="00804981" w:rsidP="001420FE">
            <w:pPr>
              <w:spacing w:after="0" w:line="240" w:lineRule="auto"/>
              <w:jc w:val="both"/>
              <w:rPr>
                <w:rFonts w:ascii="Times New Roman" w:hAnsi="Times New Roman"/>
                <w:sz w:val="24"/>
                <w:lang w:val="en-US"/>
              </w:rPr>
            </w:pPr>
            <w:r w:rsidRPr="001420FE">
              <w:rPr>
                <w:rFonts w:ascii="Times New Roman" w:hAnsi="Times New Roman"/>
                <w:sz w:val="24"/>
                <w:lang w:val="en-US"/>
              </w:rPr>
              <w:t>1)</w:t>
            </w:r>
            <w:r w:rsidRPr="001420FE">
              <w:rPr>
                <w:rFonts w:ascii="Times New Roman" w:hAnsi="Times New Roman"/>
                <w:sz w:val="24"/>
                <w:lang w:val="en-US"/>
              </w:rPr>
              <w:tab/>
              <w:t>We will accept on your behalf service of proceedings issued out of the Courts of England in relation to any of the Agreements (the “Agreements”) specified in paragraph 6 of the document “Appointment of Process Agent” (the “Appointment Letter”). As soon as reasonably practicable after such service, we will notify you thereof by e-mail or fax, which notice will include a copy of the Claim Form and Particulars of Claim (or equivalent documents) but will exclude any appendices or attachments thereto and any other documents served on us. The originals of all documents served on us which are relevant to such proceedings will be dealt with in accordance with 2 below.</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804981" w:rsidRPr="00D04A96" w:rsidRDefault="00EE2880" w:rsidP="00461BF7">
            <w:pPr>
              <w:spacing w:after="0" w:line="240" w:lineRule="auto"/>
              <w:jc w:val="both"/>
              <w:rPr>
                <w:rFonts w:ascii="Times New Roman" w:hAnsi="Times New Roman"/>
                <w:sz w:val="24"/>
              </w:rPr>
            </w:pPr>
            <w:r w:rsidRPr="0060310B">
              <w:rPr>
                <w:rFonts w:ascii="Times New Roman" w:hAnsi="Times New Roman"/>
                <w:sz w:val="24"/>
              </w:rPr>
              <w:t>1)</w:t>
            </w:r>
            <w:r w:rsidRPr="0060310B">
              <w:rPr>
                <w:rFonts w:ascii="Times New Roman" w:hAnsi="Times New Roman"/>
                <w:sz w:val="24"/>
              </w:rPr>
              <w:tab/>
            </w:r>
            <w:r w:rsidRPr="00EE2880">
              <w:rPr>
                <w:rFonts w:ascii="Times New Roman" w:hAnsi="Times New Roman"/>
                <w:sz w:val="24"/>
              </w:rPr>
              <w:t xml:space="preserve">Мы будем от вашего имени принимать адресованные вам </w:t>
            </w:r>
            <w:r w:rsidR="0060310B">
              <w:rPr>
                <w:rFonts w:ascii="Times New Roman" w:hAnsi="Times New Roman"/>
                <w:sz w:val="24"/>
              </w:rPr>
              <w:t>извещения о процессуальны</w:t>
            </w:r>
            <w:r w:rsidR="0046423A">
              <w:rPr>
                <w:rFonts w:ascii="Times New Roman" w:hAnsi="Times New Roman"/>
                <w:sz w:val="24"/>
              </w:rPr>
              <w:t>х документах</w:t>
            </w:r>
            <w:r w:rsidRPr="00EE2880">
              <w:rPr>
                <w:rFonts w:ascii="Times New Roman" w:hAnsi="Times New Roman"/>
                <w:sz w:val="24"/>
              </w:rPr>
              <w:t xml:space="preserve">, </w:t>
            </w:r>
            <w:r w:rsidR="0046423A">
              <w:rPr>
                <w:rFonts w:ascii="Times New Roman" w:hAnsi="Times New Roman"/>
                <w:sz w:val="24"/>
              </w:rPr>
              <w:t>на</w:t>
            </w:r>
            <w:r w:rsidR="0060310B">
              <w:rPr>
                <w:rFonts w:ascii="Times New Roman" w:hAnsi="Times New Roman"/>
                <w:sz w:val="24"/>
              </w:rPr>
              <w:t>правленные</w:t>
            </w:r>
            <w:r w:rsidR="0046423A">
              <w:rPr>
                <w:rFonts w:ascii="Times New Roman" w:hAnsi="Times New Roman"/>
                <w:sz w:val="24"/>
              </w:rPr>
              <w:t xml:space="preserve"> вам</w:t>
            </w:r>
            <w:r w:rsidRPr="00EE2880">
              <w:rPr>
                <w:rFonts w:ascii="Times New Roman" w:hAnsi="Times New Roman"/>
                <w:sz w:val="24"/>
              </w:rPr>
              <w:t xml:space="preserve"> суд</w:t>
            </w:r>
            <w:r w:rsidR="0060310B">
              <w:rPr>
                <w:rFonts w:ascii="Times New Roman" w:hAnsi="Times New Roman"/>
                <w:sz w:val="24"/>
              </w:rPr>
              <w:t>ами</w:t>
            </w:r>
            <w:r w:rsidRPr="00EE2880">
              <w:rPr>
                <w:rFonts w:ascii="Times New Roman" w:hAnsi="Times New Roman"/>
                <w:sz w:val="24"/>
              </w:rPr>
              <w:t xml:space="preserve"> Англии в отношении любого из Соглашений</w:t>
            </w:r>
            <w:r w:rsidR="0060310B">
              <w:rPr>
                <w:rFonts w:ascii="Times New Roman" w:hAnsi="Times New Roman"/>
                <w:sz w:val="24"/>
              </w:rPr>
              <w:t xml:space="preserve"> (далее – «Соглашения»), указанного в пункте 6 документа под названием «</w:t>
            </w:r>
            <w:r w:rsidR="0060310B" w:rsidRPr="0060310B">
              <w:rPr>
                <w:rFonts w:ascii="Times New Roman" w:hAnsi="Times New Roman"/>
                <w:sz w:val="24"/>
              </w:rPr>
              <w:t>Назначение агента для вручения процессуальных документов</w:t>
            </w:r>
            <w:r w:rsidR="0060310B">
              <w:rPr>
                <w:rFonts w:ascii="Times New Roman" w:hAnsi="Times New Roman"/>
                <w:sz w:val="24"/>
              </w:rPr>
              <w:t>» (далее – «Письмо о назначении»).</w:t>
            </w:r>
            <w:r w:rsidR="0060310B" w:rsidRPr="00D04A96">
              <w:rPr>
                <w:rFonts w:ascii="Times New Roman" w:hAnsi="Times New Roman"/>
                <w:sz w:val="24"/>
                <w:szCs w:val="24"/>
              </w:rPr>
              <w:t xml:space="preserve"> В</w:t>
            </w:r>
            <w:r w:rsidR="0060310B" w:rsidRPr="0060310B">
              <w:rPr>
                <w:rFonts w:ascii="Times New Roman" w:hAnsi="Times New Roman"/>
                <w:sz w:val="24"/>
              </w:rPr>
              <w:t xml:space="preserve"> кратчайшие разумно обоснованные и практически достижимые сроки</w:t>
            </w:r>
            <w:r w:rsidR="0060310B">
              <w:rPr>
                <w:rFonts w:ascii="Times New Roman" w:hAnsi="Times New Roman"/>
                <w:sz w:val="24"/>
              </w:rPr>
              <w:t xml:space="preserve"> после получения такого извещения, мы уведомим вас о нем по электронной почте или факсу, такое извещение будет включать в с</w:t>
            </w:r>
            <w:r w:rsidR="00D04A96">
              <w:rPr>
                <w:rFonts w:ascii="Times New Roman" w:hAnsi="Times New Roman"/>
                <w:sz w:val="24"/>
              </w:rPr>
              <w:t>ебя копию Искового заявления и Р</w:t>
            </w:r>
            <w:r w:rsidR="0060310B">
              <w:rPr>
                <w:rFonts w:ascii="Times New Roman" w:hAnsi="Times New Roman"/>
                <w:sz w:val="24"/>
              </w:rPr>
              <w:t>азвернуто</w:t>
            </w:r>
            <w:r w:rsidR="00D04A96">
              <w:rPr>
                <w:rFonts w:ascii="Times New Roman" w:hAnsi="Times New Roman"/>
                <w:sz w:val="24"/>
              </w:rPr>
              <w:t>го</w:t>
            </w:r>
            <w:r w:rsidR="0060310B">
              <w:rPr>
                <w:rFonts w:ascii="Times New Roman" w:hAnsi="Times New Roman"/>
                <w:sz w:val="24"/>
              </w:rPr>
              <w:t xml:space="preserve"> исково</w:t>
            </w:r>
            <w:r w:rsidR="00D04A96">
              <w:rPr>
                <w:rFonts w:ascii="Times New Roman" w:hAnsi="Times New Roman"/>
                <w:sz w:val="24"/>
              </w:rPr>
              <w:t>го</w:t>
            </w:r>
            <w:r w:rsidR="0060310B">
              <w:rPr>
                <w:rFonts w:ascii="Times New Roman" w:hAnsi="Times New Roman"/>
                <w:sz w:val="24"/>
              </w:rPr>
              <w:t xml:space="preserve"> заявлени</w:t>
            </w:r>
            <w:r w:rsidR="00D04A96">
              <w:rPr>
                <w:rFonts w:ascii="Times New Roman" w:hAnsi="Times New Roman"/>
                <w:sz w:val="24"/>
              </w:rPr>
              <w:t>я</w:t>
            </w:r>
            <w:r w:rsidR="0060310B">
              <w:rPr>
                <w:rFonts w:ascii="Times New Roman" w:hAnsi="Times New Roman"/>
                <w:sz w:val="24"/>
              </w:rPr>
              <w:t xml:space="preserve"> (или аналогичны</w:t>
            </w:r>
            <w:r w:rsidR="00D04A96">
              <w:rPr>
                <w:rFonts w:ascii="Times New Roman" w:hAnsi="Times New Roman"/>
                <w:sz w:val="24"/>
              </w:rPr>
              <w:t>х документов</w:t>
            </w:r>
            <w:r w:rsidR="0060310B">
              <w:rPr>
                <w:rFonts w:ascii="Times New Roman" w:hAnsi="Times New Roman"/>
                <w:sz w:val="24"/>
              </w:rPr>
              <w:t>), но не буд</w:t>
            </w:r>
            <w:r w:rsidR="00D04A96">
              <w:rPr>
                <w:rFonts w:ascii="Times New Roman" w:hAnsi="Times New Roman"/>
                <w:sz w:val="24"/>
              </w:rPr>
              <w:t>е</w:t>
            </w:r>
            <w:r w:rsidR="0060310B">
              <w:rPr>
                <w:rFonts w:ascii="Times New Roman" w:hAnsi="Times New Roman"/>
                <w:sz w:val="24"/>
              </w:rPr>
              <w:t>т включать в себя какие-либо приложения или допол</w:t>
            </w:r>
            <w:r w:rsidR="00D04A96">
              <w:rPr>
                <w:rFonts w:ascii="Times New Roman" w:hAnsi="Times New Roman"/>
                <w:sz w:val="24"/>
              </w:rPr>
              <w:t>нения к нему</w:t>
            </w:r>
            <w:r w:rsidR="008403A8">
              <w:rPr>
                <w:rFonts w:ascii="Times New Roman" w:hAnsi="Times New Roman"/>
                <w:sz w:val="24"/>
              </w:rPr>
              <w:t>,</w:t>
            </w:r>
            <w:r w:rsidR="00D04A96">
              <w:rPr>
                <w:rFonts w:ascii="Times New Roman" w:hAnsi="Times New Roman"/>
                <w:sz w:val="24"/>
              </w:rPr>
              <w:t xml:space="preserve"> и прочие документы, направленные нам. </w:t>
            </w:r>
            <w:r w:rsidR="008403A8">
              <w:rPr>
                <w:rFonts w:ascii="Times New Roman" w:hAnsi="Times New Roman"/>
                <w:sz w:val="24"/>
              </w:rPr>
              <w:t>Операции с о</w:t>
            </w:r>
            <w:r w:rsidR="00D04A96">
              <w:rPr>
                <w:rFonts w:ascii="Times New Roman" w:hAnsi="Times New Roman"/>
                <w:sz w:val="24"/>
              </w:rPr>
              <w:t>ригинал</w:t>
            </w:r>
            <w:r w:rsidR="008403A8">
              <w:rPr>
                <w:rFonts w:ascii="Times New Roman" w:hAnsi="Times New Roman"/>
                <w:sz w:val="24"/>
              </w:rPr>
              <w:t>ами</w:t>
            </w:r>
            <w:r w:rsidR="00D04A96">
              <w:rPr>
                <w:rFonts w:ascii="Times New Roman" w:hAnsi="Times New Roman"/>
                <w:sz w:val="24"/>
              </w:rPr>
              <w:t xml:space="preserve"> всех документов, направленных нам, имеющих отношение к таким процессуальным документам, </w:t>
            </w:r>
            <w:r w:rsidR="00461BF7">
              <w:rPr>
                <w:rFonts w:ascii="Times New Roman" w:hAnsi="Times New Roman"/>
                <w:sz w:val="24"/>
              </w:rPr>
              <w:t>осуществляются</w:t>
            </w:r>
            <w:r w:rsidR="00D04A96">
              <w:rPr>
                <w:rFonts w:ascii="Times New Roman" w:hAnsi="Times New Roman"/>
                <w:sz w:val="24"/>
              </w:rPr>
              <w:t xml:space="preserve"> в соответствии с нижеприведенным пунктом 2.</w:t>
            </w:r>
          </w:p>
        </w:tc>
      </w:tr>
      <w:tr w:rsidR="00804981" w:rsidRPr="00D04A96" w:rsidTr="00EE2880">
        <w:trPr>
          <w:cantSplit/>
        </w:trPr>
        <w:tc>
          <w:tcPr>
            <w:tcW w:w="2500" w:type="pct"/>
            <w:tcBorders>
              <w:top w:val="single" w:sz="4" w:space="0" w:color="auto"/>
            </w:tcBorders>
            <w:shd w:val="clear" w:color="auto" w:fill="auto"/>
          </w:tcPr>
          <w:p w:rsidR="00804981" w:rsidRPr="001420FE" w:rsidRDefault="00804981" w:rsidP="001420FE">
            <w:pPr>
              <w:spacing w:after="0" w:line="240" w:lineRule="auto"/>
              <w:jc w:val="both"/>
              <w:rPr>
                <w:rFonts w:ascii="Times New Roman" w:hAnsi="Times New Roman"/>
                <w:sz w:val="24"/>
                <w:lang w:val="en-US"/>
              </w:rPr>
            </w:pPr>
            <w:r w:rsidRPr="001420FE">
              <w:rPr>
                <w:rFonts w:ascii="Times New Roman" w:hAnsi="Times New Roman"/>
                <w:sz w:val="24"/>
                <w:lang w:val="en-US"/>
              </w:rPr>
              <w:t>2)</w:t>
            </w:r>
            <w:r w:rsidRPr="001420FE">
              <w:rPr>
                <w:rFonts w:ascii="Times New Roman" w:hAnsi="Times New Roman"/>
                <w:sz w:val="24"/>
                <w:lang w:val="en-US"/>
              </w:rPr>
              <w:tab/>
              <w:t>As soon as reasonably practicable after receipt of any documents relevant to the proceedings, we will notify you of their receipt and request your instructions as to the transmission thereof.</w:t>
            </w:r>
            <w:r w:rsidR="00723CE0">
              <w:rPr>
                <w:rFonts w:ascii="Times New Roman" w:hAnsi="Times New Roman"/>
                <w:sz w:val="24"/>
                <w:lang w:val="en-US"/>
              </w:rPr>
              <w:t xml:space="preserve"> </w:t>
            </w:r>
            <w:r w:rsidRPr="001420FE">
              <w:rPr>
                <w:rFonts w:ascii="Times New Roman" w:hAnsi="Times New Roman"/>
                <w:sz w:val="24"/>
                <w:lang w:val="en-US"/>
              </w:rPr>
              <w:t>The costs of transmission will be for your account and we shall be entitled to retain the relevant documents until we have received your instructions and you have put us in funds to cover such costs.</w:t>
            </w:r>
          </w:p>
        </w:tc>
        <w:tc>
          <w:tcPr>
            <w:tcW w:w="2500" w:type="pct"/>
            <w:tcBorders>
              <w:top w:val="single" w:sz="4" w:space="0" w:color="auto"/>
            </w:tcBorders>
            <w:shd w:val="clear" w:color="auto" w:fill="auto"/>
          </w:tcPr>
          <w:p w:rsidR="00804981" w:rsidRPr="00D04A96" w:rsidRDefault="00D04A96" w:rsidP="000C1981">
            <w:pPr>
              <w:spacing w:after="0" w:line="240" w:lineRule="auto"/>
              <w:jc w:val="both"/>
              <w:rPr>
                <w:rFonts w:ascii="Times New Roman" w:hAnsi="Times New Roman"/>
                <w:sz w:val="24"/>
              </w:rPr>
            </w:pPr>
            <w:r w:rsidRPr="00D04A96">
              <w:rPr>
                <w:rFonts w:ascii="Times New Roman" w:hAnsi="Times New Roman"/>
                <w:sz w:val="24"/>
              </w:rPr>
              <w:t>2)</w:t>
            </w:r>
            <w:r w:rsidRPr="00D04A96">
              <w:rPr>
                <w:rFonts w:ascii="Times New Roman" w:hAnsi="Times New Roman"/>
                <w:sz w:val="24"/>
              </w:rPr>
              <w:tab/>
              <w:t>В кратчайшие разумно обоснованные и практически достижимые сроки после получения каких-либо документов, имеющих отношение к процессуальным документам, мы уведомим вас об их получе</w:t>
            </w:r>
            <w:r w:rsidR="000C1981">
              <w:rPr>
                <w:rFonts w:ascii="Times New Roman" w:hAnsi="Times New Roman"/>
                <w:sz w:val="24"/>
              </w:rPr>
              <w:t>нии и запросим от вас дальнейшие инструкции</w:t>
            </w:r>
            <w:r w:rsidRPr="00D04A96">
              <w:rPr>
                <w:rFonts w:ascii="Times New Roman" w:hAnsi="Times New Roman"/>
                <w:sz w:val="24"/>
              </w:rPr>
              <w:t xml:space="preserve"> </w:t>
            </w:r>
            <w:r w:rsidR="000C1981">
              <w:rPr>
                <w:rFonts w:ascii="Times New Roman" w:hAnsi="Times New Roman"/>
                <w:sz w:val="24"/>
              </w:rPr>
              <w:t>по их передаче</w:t>
            </w:r>
            <w:r w:rsidRPr="00D04A96">
              <w:rPr>
                <w:rFonts w:ascii="Times New Roman" w:hAnsi="Times New Roman"/>
                <w:sz w:val="24"/>
              </w:rPr>
              <w:t>. Расходы на передачу документов оплачиваются вами, а мы вправе хранить соответствующие документы, пока мы не получим ваших инструкций, и пока вы не предоставите нам денежные средства для покрытия таких расходов.</w:t>
            </w:r>
          </w:p>
        </w:tc>
      </w:tr>
      <w:tr w:rsidR="00804981" w:rsidRPr="00387F77" w:rsidTr="001E64C0">
        <w:trPr>
          <w:cantSplit/>
        </w:trPr>
        <w:tc>
          <w:tcPr>
            <w:tcW w:w="2500" w:type="pct"/>
            <w:shd w:val="clear" w:color="auto" w:fill="auto"/>
          </w:tcPr>
          <w:p w:rsidR="00804981" w:rsidRPr="001420FE" w:rsidRDefault="00804981" w:rsidP="001420FE">
            <w:pPr>
              <w:spacing w:after="0" w:line="240" w:lineRule="auto"/>
              <w:jc w:val="both"/>
              <w:rPr>
                <w:rFonts w:ascii="Times New Roman" w:hAnsi="Times New Roman"/>
                <w:sz w:val="24"/>
                <w:lang w:val="en-US"/>
              </w:rPr>
            </w:pPr>
            <w:r w:rsidRPr="001420FE">
              <w:rPr>
                <w:rFonts w:ascii="Times New Roman" w:hAnsi="Times New Roman"/>
                <w:sz w:val="24"/>
                <w:lang w:val="en-US"/>
              </w:rPr>
              <w:lastRenderedPageBreak/>
              <w:t>3)</w:t>
            </w:r>
            <w:r w:rsidRPr="001420FE">
              <w:rPr>
                <w:rFonts w:ascii="Times New Roman" w:hAnsi="Times New Roman"/>
                <w:sz w:val="24"/>
                <w:lang w:val="en-US"/>
              </w:rPr>
              <w:tab/>
              <w:t>In addition to the fee set out in our invoice, you will pay all expenses incurred by us in carrying out our duties as your agent.</w:t>
            </w:r>
            <w:r w:rsidR="00723CE0">
              <w:rPr>
                <w:rFonts w:ascii="Times New Roman" w:hAnsi="Times New Roman"/>
                <w:sz w:val="24"/>
                <w:lang w:val="en-US"/>
              </w:rPr>
              <w:t xml:space="preserve"> </w:t>
            </w:r>
            <w:r w:rsidRPr="001420FE">
              <w:rPr>
                <w:rFonts w:ascii="Times New Roman" w:hAnsi="Times New Roman"/>
                <w:sz w:val="24"/>
                <w:lang w:val="en-US"/>
              </w:rPr>
              <w:t>If you fail to pay the full amount of any invoice relating to the appointment within 30 days of its issue, we shall be entitled to terminate the appointment by notice to you given at any time after such failure unless it has been remedied. All payments shall be made without deduction for any taxes or other duties, but if you are required by law to make any such deduction, you will pay such additional amounts as will ensure that we actually receive, net of any deductions, the amount due to us.</w:t>
            </w:r>
          </w:p>
        </w:tc>
        <w:tc>
          <w:tcPr>
            <w:tcW w:w="2500" w:type="pct"/>
            <w:shd w:val="clear" w:color="auto" w:fill="auto"/>
          </w:tcPr>
          <w:p w:rsidR="00804981" w:rsidRPr="00387F77" w:rsidRDefault="00387F77" w:rsidP="00552F9B">
            <w:pPr>
              <w:spacing w:after="0" w:line="240" w:lineRule="auto"/>
              <w:jc w:val="both"/>
              <w:rPr>
                <w:rFonts w:ascii="Times New Roman" w:hAnsi="Times New Roman"/>
                <w:sz w:val="24"/>
              </w:rPr>
            </w:pPr>
            <w:r>
              <w:rPr>
                <w:rFonts w:ascii="Times New Roman" w:hAnsi="Times New Roman"/>
                <w:sz w:val="24"/>
              </w:rPr>
              <w:t>3)</w:t>
            </w:r>
            <w:r>
              <w:rPr>
                <w:rFonts w:ascii="Times New Roman" w:hAnsi="Times New Roman"/>
                <w:sz w:val="24"/>
              </w:rPr>
              <w:tab/>
            </w:r>
            <w:r w:rsidRPr="00387F77">
              <w:rPr>
                <w:rFonts w:ascii="Times New Roman" w:hAnsi="Times New Roman"/>
                <w:sz w:val="24"/>
              </w:rPr>
              <w:t xml:space="preserve">Кроме платы, указанной в нашем счете, вы оплачиваете все расходы, понесенные нами в ходе выполнения наших обязанностей в качестве вашего агента. Если вы не </w:t>
            </w:r>
            <w:r>
              <w:rPr>
                <w:rFonts w:ascii="Times New Roman" w:hAnsi="Times New Roman"/>
                <w:sz w:val="24"/>
              </w:rPr>
              <w:t>вы</w:t>
            </w:r>
            <w:r w:rsidRPr="00387F77">
              <w:rPr>
                <w:rFonts w:ascii="Times New Roman" w:hAnsi="Times New Roman"/>
                <w:sz w:val="24"/>
              </w:rPr>
              <w:t>платите п</w:t>
            </w:r>
            <w:r w:rsidR="00552F9B">
              <w:rPr>
                <w:rFonts w:ascii="Times New Roman" w:hAnsi="Times New Roman"/>
                <w:sz w:val="24"/>
              </w:rPr>
              <w:t>олную сумму любого счета</w:t>
            </w:r>
            <w:r w:rsidRPr="00387F77">
              <w:rPr>
                <w:rFonts w:ascii="Times New Roman" w:hAnsi="Times New Roman"/>
                <w:sz w:val="24"/>
              </w:rPr>
              <w:t>, связанную с назначением</w:t>
            </w:r>
            <w:r>
              <w:rPr>
                <w:rFonts w:ascii="Times New Roman" w:hAnsi="Times New Roman"/>
                <w:sz w:val="24"/>
              </w:rPr>
              <w:t>,</w:t>
            </w:r>
            <w:r w:rsidRPr="00387F77">
              <w:rPr>
                <w:rFonts w:ascii="Times New Roman" w:hAnsi="Times New Roman"/>
                <w:sz w:val="24"/>
              </w:rPr>
              <w:t xml:space="preserve"> в течение 30 дней с момента его выставления, мы вправе прекратить действие данного назначения, уведомив вас в любое в</w:t>
            </w:r>
            <w:r>
              <w:rPr>
                <w:rFonts w:ascii="Times New Roman" w:hAnsi="Times New Roman"/>
                <w:sz w:val="24"/>
              </w:rPr>
              <w:t>ремя после такого нарушения сроков</w:t>
            </w:r>
            <w:r w:rsidRPr="00387F77">
              <w:rPr>
                <w:rFonts w:ascii="Times New Roman" w:hAnsi="Times New Roman"/>
                <w:sz w:val="24"/>
              </w:rPr>
              <w:t xml:space="preserve"> оплаты, если оно не было устранено. Все платежи производятся без вычетов каких-либо налогов или других пошлин, но если вы по закону обязаны произвести такой вычет, то вы должны оплатить такие дополнительные суммы, которые обеспечат гарантированное фактическое получение нами, без учета любых вычетов, причитающ</w:t>
            </w:r>
            <w:r w:rsidR="00552F9B">
              <w:rPr>
                <w:rFonts w:ascii="Times New Roman" w:hAnsi="Times New Roman"/>
                <w:sz w:val="24"/>
              </w:rPr>
              <w:t>ей</w:t>
            </w:r>
            <w:r w:rsidRPr="00387F77">
              <w:rPr>
                <w:rFonts w:ascii="Times New Roman" w:hAnsi="Times New Roman"/>
                <w:sz w:val="24"/>
              </w:rPr>
              <w:t>ся нам сумм</w:t>
            </w:r>
            <w:r w:rsidR="00552F9B">
              <w:rPr>
                <w:rFonts w:ascii="Times New Roman" w:hAnsi="Times New Roman"/>
                <w:sz w:val="24"/>
              </w:rPr>
              <w:t>ы</w:t>
            </w:r>
            <w:r w:rsidRPr="00387F77">
              <w:rPr>
                <w:rFonts w:ascii="Times New Roman" w:hAnsi="Times New Roman"/>
                <w:sz w:val="24"/>
              </w:rPr>
              <w:t>.</w:t>
            </w:r>
          </w:p>
        </w:tc>
      </w:tr>
    </w:tbl>
    <w:p w:rsidR="00C27769" w:rsidRPr="00387F77" w:rsidRDefault="00C27769" w:rsidP="00723CE0">
      <w:pPr>
        <w:spacing w:after="0" w:line="240" w:lineRule="auto"/>
        <w:rPr>
          <w:rFonts w:ascii="Times New Roman" w:hAnsi="Times New Roman"/>
          <w:sz w:val="24"/>
        </w:rPr>
      </w:pPr>
    </w:p>
    <w:p w:rsidR="00804981" w:rsidRPr="00804981" w:rsidRDefault="00804981" w:rsidP="00804981">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704"/>
        <w:gridCol w:w="4765"/>
      </w:tblGrid>
      <w:tr w:rsidR="00EE0FF2" w:rsidRPr="00804981" w:rsidTr="005C5367">
        <w:trPr>
          <w:cantSplit/>
        </w:trPr>
        <w:tc>
          <w:tcPr>
            <w:tcW w:w="2484" w:type="pct"/>
          </w:tcPr>
          <w:p w:rsidR="00EE0FF2" w:rsidRPr="00804981" w:rsidRDefault="00EE0FF2" w:rsidP="00723CE0">
            <w:pPr>
              <w:spacing w:after="0" w:line="240" w:lineRule="auto"/>
              <w:jc w:val="center"/>
              <w:rPr>
                <w:rFonts w:ascii="Times New Roman" w:hAnsi="Times New Roman"/>
                <w:b/>
                <w:sz w:val="24"/>
              </w:rPr>
            </w:pPr>
            <w:r>
              <w:rPr>
                <w:rFonts w:ascii="Times New Roman" w:hAnsi="Times New Roman"/>
                <w:b/>
                <w:sz w:val="24"/>
              </w:rPr>
              <w:t>Оригинал</w:t>
            </w:r>
          </w:p>
        </w:tc>
        <w:tc>
          <w:tcPr>
            <w:tcW w:w="2516" w:type="pct"/>
          </w:tcPr>
          <w:p w:rsidR="00EE0FF2" w:rsidRPr="005C5367" w:rsidRDefault="00EE0FF2" w:rsidP="005C5367">
            <w:pPr>
              <w:spacing w:after="0" w:line="240" w:lineRule="auto"/>
              <w:jc w:val="center"/>
              <w:rPr>
                <w:rFonts w:ascii="Times New Roman" w:hAnsi="Times New Roman"/>
                <w:b/>
                <w:sz w:val="24"/>
              </w:rPr>
            </w:pPr>
            <w:r>
              <w:rPr>
                <w:rFonts w:ascii="Times New Roman" w:hAnsi="Times New Roman"/>
                <w:b/>
                <w:sz w:val="24"/>
              </w:rPr>
              <w:t>Перевод</w:t>
            </w:r>
            <w:bookmarkStart w:id="0" w:name="_GoBack"/>
            <w:bookmarkEnd w:id="0"/>
          </w:p>
        </w:tc>
      </w:tr>
      <w:tr w:rsidR="003131E2" w:rsidRPr="00804981" w:rsidTr="005C5367">
        <w:trPr>
          <w:cantSplit/>
        </w:trPr>
        <w:tc>
          <w:tcPr>
            <w:tcW w:w="2484" w:type="pct"/>
          </w:tcPr>
          <w:p w:rsidR="003131E2" w:rsidRPr="00804981" w:rsidRDefault="00804981" w:rsidP="00723CE0">
            <w:pPr>
              <w:spacing w:after="0" w:line="240" w:lineRule="auto"/>
              <w:jc w:val="center"/>
              <w:rPr>
                <w:rFonts w:ascii="Times New Roman" w:hAnsi="Times New Roman"/>
                <w:b/>
                <w:sz w:val="24"/>
              </w:rPr>
            </w:pPr>
            <w:r w:rsidRPr="00804981">
              <w:rPr>
                <w:rFonts w:ascii="Times New Roman" w:hAnsi="Times New Roman"/>
                <w:b/>
                <w:sz w:val="24"/>
              </w:rPr>
              <w:t>СОГЛАШЕНИЕ О НЕРАЗГЛАШЕНИИ КОНФИДЕНЦИАЛЬНОЙ ИНФОРМАЦИИ</w:t>
            </w:r>
          </w:p>
        </w:tc>
        <w:tc>
          <w:tcPr>
            <w:tcW w:w="2516" w:type="pct"/>
          </w:tcPr>
          <w:p w:rsidR="003131E2" w:rsidRPr="00804981" w:rsidRDefault="005C5367" w:rsidP="005C5367">
            <w:pPr>
              <w:spacing w:after="0" w:line="240" w:lineRule="auto"/>
              <w:jc w:val="center"/>
              <w:rPr>
                <w:rFonts w:ascii="Times New Roman" w:hAnsi="Times New Roman"/>
                <w:b/>
                <w:sz w:val="24"/>
              </w:rPr>
            </w:pPr>
            <w:r w:rsidRPr="005C5367">
              <w:rPr>
                <w:rFonts w:ascii="Times New Roman" w:hAnsi="Times New Roman"/>
                <w:b/>
                <w:sz w:val="24"/>
              </w:rPr>
              <w:t>CONFIDENTIALITY AGREEMENT</w:t>
            </w:r>
          </w:p>
        </w:tc>
      </w:tr>
      <w:tr w:rsidR="00804981" w:rsidRPr="00EE0FF2" w:rsidTr="005C5367">
        <w:trPr>
          <w:cantSplit/>
        </w:trPr>
        <w:tc>
          <w:tcPr>
            <w:tcW w:w="2484" w:type="pct"/>
            <w:shd w:val="clear" w:color="auto" w:fill="auto"/>
          </w:tcPr>
          <w:p w:rsidR="00804981" w:rsidRPr="00804981" w:rsidRDefault="00804981" w:rsidP="001420FE">
            <w:pPr>
              <w:spacing w:after="0" w:line="240" w:lineRule="auto"/>
              <w:jc w:val="both"/>
              <w:rPr>
                <w:rFonts w:ascii="Times New Roman" w:hAnsi="Times New Roman"/>
                <w:sz w:val="24"/>
              </w:rPr>
            </w:pPr>
            <w:r w:rsidRPr="00804981">
              <w:rPr>
                <w:rFonts w:ascii="Times New Roman" w:hAnsi="Times New Roman"/>
                <w:sz w:val="24"/>
              </w:rPr>
              <w:t>Настоящее Соглашение о неразглашении конфиденциальной информации (</w:t>
            </w:r>
            <w:r w:rsidRPr="00804981">
              <w:rPr>
                <w:rFonts w:ascii="Times New Roman" w:hAnsi="Times New Roman"/>
                <w:b/>
                <w:sz w:val="24"/>
              </w:rPr>
              <w:t>далее – «Соглашение»</w:t>
            </w:r>
            <w:r w:rsidRPr="00804981">
              <w:rPr>
                <w:rFonts w:ascii="Times New Roman" w:hAnsi="Times New Roman"/>
                <w:sz w:val="24"/>
              </w:rPr>
              <w:t>) заключено сего ___________ 2011 года между:</w:t>
            </w:r>
          </w:p>
        </w:tc>
        <w:tc>
          <w:tcPr>
            <w:tcW w:w="2516" w:type="pct"/>
            <w:shd w:val="clear" w:color="auto" w:fill="auto"/>
          </w:tcPr>
          <w:p w:rsidR="00804981" w:rsidRPr="005C5367" w:rsidRDefault="005C5367" w:rsidP="005C5367">
            <w:pPr>
              <w:spacing w:after="0" w:line="240" w:lineRule="auto"/>
              <w:jc w:val="both"/>
              <w:rPr>
                <w:rFonts w:ascii="Times New Roman" w:hAnsi="Times New Roman"/>
                <w:sz w:val="24"/>
                <w:lang w:val="en-US"/>
              </w:rPr>
            </w:pPr>
            <w:r>
              <w:rPr>
                <w:rFonts w:ascii="Times New Roman" w:hAnsi="Times New Roman"/>
                <w:sz w:val="24"/>
                <w:lang w:val="en-US"/>
              </w:rPr>
              <w:t>This</w:t>
            </w:r>
            <w:r w:rsidRPr="005C5367">
              <w:rPr>
                <w:rFonts w:ascii="Times New Roman" w:hAnsi="Times New Roman"/>
                <w:sz w:val="24"/>
                <w:lang w:val="en-US"/>
              </w:rPr>
              <w:t xml:space="preserve"> </w:t>
            </w:r>
            <w:r>
              <w:rPr>
                <w:rFonts w:ascii="Times New Roman" w:hAnsi="Times New Roman"/>
                <w:sz w:val="24"/>
                <w:lang w:val="en-US"/>
              </w:rPr>
              <w:t>Confidentiality</w:t>
            </w:r>
            <w:r w:rsidRPr="005C5367">
              <w:rPr>
                <w:rFonts w:ascii="Times New Roman" w:hAnsi="Times New Roman"/>
                <w:sz w:val="24"/>
                <w:lang w:val="en-US"/>
              </w:rPr>
              <w:t xml:space="preserve"> </w:t>
            </w:r>
            <w:r>
              <w:rPr>
                <w:rFonts w:ascii="Times New Roman" w:hAnsi="Times New Roman"/>
                <w:sz w:val="24"/>
                <w:lang w:val="en-US"/>
              </w:rPr>
              <w:t>Agreement</w:t>
            </w:r>
            <w:r w:rsidRPr="005C5367">
              <w:rPr>
                <w:rFonts w:ascii="Times New Roman" w:hAnsi="Times New Roman"/>
                <w:sz w:val="24"/>
                <w:lang w:val="en-US"/>
              </w:rPr>
              <w:t xml:space="preserve"> (hereinafter referred to as the</w:t>
            </w:r>
            <w:r>
              <w:rPr>
                <w:rFonts w:ascii="Times New Roman" w:hAnsi="Times New Roman"/>
                <w:b/>
                <w:sz w:val="24"/>
                <w:lang w:val="en-US"/>
              </w:rPr>
              <w:t xml:space="preserve"> “Agreement”</w:t>
            </w:r>
            <w:r w:rsidRPr="005C5367">
              <w:rPr>
                <w:rFonts w:ascii="Times New Roman" w:hAnsi="Times New Roman"/>
                <w:sz w:val="24"/>
                <w:lang w:val="en-US"/>
              </w:rPr>
              <w:t xml:space="preserve">) </w:t>
            </w:r>
            <w:r>
              <w:rPr>
                <w:rFonts w:ascii="Times New Roman" w:hAnsi="Times New Roman"/>
                <w:sz w:val="24"/>
                <w:lang w:val="en-US"/>
              </w:rPr>
              <w:t>was entered into</w:t>
            </w:r>
            <w:r w:rsidRPr="005C5367">
              <w:rPr>
                <w:rFonts w:ascii="Times New Roman" w:hAnsi="Times New Roman"/>
                <w:sz w:val="24"/>
                <w:lang w:val="en-US"/>
              </w:rPr>
              <w:t xml:space="preserve"> </w:t>
            </w:r>
            <w:r>
              <w:rPr>
                <w:rFonts w:ascii="Times New Roman" w:hAnsi="Times New Roman"/>
                <w:sz w:val="24"/>
                <w:lang w:val="en-US"/>
              </w:rPr>
              <w:t>this</w:t>
            </w:r>
            <w:r w:rsidRPr="005C5367">
              <w:rPr>
                <w:rFonts w:ascii="Times New Roman" w:hAnsi="Times New Roman"/>
                <w:sz w:val="24"/>
                <w:lang w:val="en-US"/>
              </w:rPr>
              <w:t xml:space="preserve"> __</w:t>
            </w:r>
            <w:r>
              <w:rPr>
                <w:rFonts w:ascii="Times New Roman" w:hAnsi="Times New Roman"/>
                <w:sz w:val="24"/>
                <w:lang w:val="en-US"/>
              </w:rPr>
              <w:t>day</w:t>
            </w:r>
            <w:r w:rsidRPr="005C5367">
              <w:rPr>
                <w:rFonts w:ascii="Times New Roman" w:hAnsi="Times New Roman"/>
                <w:sz w:val="24"/>
                <w:lang w:val="en-US"/>
              </w:rPr>
              <w:t xml:space="preserve">_________ 2011 </w:t>
            </w:r>
            <w:r>
              <w:rPr>
                <w:rFonts w:ascii="Times New Roman" w:hAnsi="Times New Roman"/>
                <w:sz w:val="24"/>
                <w:lang w:val="en-US"/>
              </w:rPr>
              <w:t>between</w:t>
            </w:r>
            <w:r w:rsidRPr="005C5367">
              <w:rPr>
                <w:rFonts w:ascii="Times New Roman" w:hAnsi="Times New Roman"/>
                <w:sz w:val="24"/>
                <w:lang w:val="en-US"/>
              </w:rPr>
              <w:t>:</w:t>
            </w:r>
          </w:p>
        </w:tc>
      </w:tr>
      <w:tr w:rsidR="00804981" w:rsidRPr="00EE0FF2" w:rsidTr="005C5367">
        <w:trPr>
          <w:cantSplit/>
        </w:trPr>
        <w:tc>
          <w:tcPr>
            <w:tcW w:w="2484" w:type="pct"/>
            <w:shd w:val="clear" w:color="auto" w:fill="auto"/>
          </w:tcPr>
          <w:p w:rsidR="00804981" w:rsidRPr="00804981" w:rsidRDefault="00804981" w:rsidP="00107CDA">
            <w:pPr>
              <w:spacing w:after="0" w:line="240" w:lineRule="auto"/>
              <w:jc w:val="both"/>
              <w:rPr>
                <w:rFonts w:ascii="Times New Roman" w:hAnsi="Times New Roman"/>
                <w:b/>
                <w:sz w:val="24"/>
              </w:rPr>
            </w:pPr>
            <w:r w:rsidRPr="00804981">
              <w:rPr>
                <w:rFonts w:ascii="Times New Roman" w:hAnsi="Times New Roman"/>
                <w:b/>
                <w:bCs/>
                <w:sz w:val="24"/>
              </w:rPr>
              <w:t>Закрытым Акционерным Обществом «Рога и Копыта»</w:t>
            </w:r>
            <w:r w:rsidRPr="00804981">
              <w:rPr>
                <w:rFonts w:ascii="Times New Roman" w:hAnsi="Times New Roman"/>
                <w:sz w:val="24"/>
              </w:rPr>
              <w:t>, и его материнской компании «ЭфОуЭнДи Холдингс Лимитед», компании с ограниченной ответственностью, зарегистрированной в соответствии с законодательством Республики Кипр, а так же всеми ее дочерними организациями и аффилированными лицами (</w:t>
            </w:r>
            <w:r w:rsidRPr="00804981">
              <w:rPr>
                <w:rFonts w:ascii="Times New Roman" w:hAnsi="Times New Roman"/>
                <w:b/>
                <w:sz w:val="24"/>
              </w:rPr>
              <w:t>далее – «Сторона 1»</w:t>
            </w:r>
            <w:r w:rsidRPr="00804981">
              <w:rPr>
                <w:rFonts w:ascii="Times New Roman" w:hAnsi="Times New Roman"/>
                <w:sz w:val="24"/>
              </w:rPr>
              <w:t>),</w:t>
            </w:r>
          </w:p>
        </w:tc>
        <w:tc>
          <w:tcPr>
            <w:tcW w:w="2516" w:type="pct"/>
            <w:shd w:val="clear" w:color="auto" w:fill="auto"/>
          </w:tcPr>
          <w:p w:rsidR="005C5367" w:rsidRPr="005C5367" w:rsidRDefault="005C5367" w:rsidP="005C5367">
            <w:pPr>
              <w:spacing w:after="0" w:line="240" w:lineRule="auto"/>
              <w:jc w:val="both"/>
              <w:rPr>
                <w:rFonts w:ascii="Times New Roman" w:hAnsi="Times New Roman"/>
                <w:b/>
                <w:bCs/>
                <w:sz w:val="24"/>
                <w:lang w:val="en-US"/>
              </w:rPr>
            </w:pPr>
            <w:r w:rsidRPr="005C5367">
              <w:rPr>
                <w:rFonts w:ascii="Times New Roman" w:hAnsi="Times New Roman"/>
                <w:b/>
                <w:bCs/>
                <w:sz w:val="24"/>
                <w:lang w:val="en-US"/>
              </w:rPr>
              <w:t xml:space="preserve">Closed Joint Stock Company Roga i kopyta (ZAO Roga i kopyta) </w:t>
            </w:r>
            <w:r>
              <w:rPr>
                <w:rFonts w:ascii="Times New Roman" w:hAnsi="Times New Roman"/>
                <w:bCs/>
                <w:sz w:val="24"/>
                <w:lang w:val="en-US"/>
              </w:rPr>
              <w:t>and its parent company FON</w:t>
            </w:r>
            <w:r w:rsidRPr="005C5367">
              <w:rPr>
                <w:rFonts w:ascii="Times New Roman" w:hAnsi="Times New Roman"/>
                <w:bCs/>
                <w:sz w:val="24"/>
                <w:lang w:val="en-US"/>
              </w:rPr>
              <w:t>D Holdings Limited, a limited liability company incorporated under the laws of the Republic of Cyprus, as well as all of its subsidiaries and affiliates (</w:t>
            </w:r>
            <w:r w:rsidRPr="005C5367">
              <w:rPr>
                <w:rFonts w:ascii="Times New Roman" w:hAnsi="Times New Roman"/>
                <w:b/>
                <w:sz w:val="24"/>
                <w:lang w:val="en-US"/>
              </w:rPr>
              <w:t>hereinafter referred to as the</w:t>
            </w:r>
            <w:r w:rsidRPr="005C5367">
              <w:rPr>
                <w:rFonts w:ascii="Times New Roman" w:hAnsi="Times New Roman"/>
                <w:b/>
                <w:bCs/>
                <w:sz w:val="24"/>
                <w:lang w:val="en-US"/>
              </w:rPr>
              <w:t xml:space="preserve"> “the Party 1”),</w:t>
            </w:r>
          </w:p>
          <w:p w:rsidR="00804981" w:rsidRPr="005C5367" w:rsidRDefault="00804981" w:rsidP="005C5367">
            <w:pPr>
              <w:spacing w:after="0" w:line="240" w:lineRule="auto"/>
              <w:jc w:val="both"/>
              <w:rPr>
                <w:rFonts w:ascii="Times New Roman" w:hAnsi="Times New Roman"/>
                <w:sz w:val="24"/>
                <w:lang w:val="en-US"/>
              </w:rPr>
            </w:pPr>
          </w:p>
        </w:tc>
      </w:tr>
      <w:tr w:rsidR="00804981" w:rsidRPr="00804981" w:rsidTr="005C5367">
        <w:trPr>
          <w:cantSplit/>
        </w:trPr>
        <w:tc>
          <w:tcPr>
            <w:tcW w:w="2484" w:type="pct"/>
            <w:shd w:val="clear" w:color="auto" w:fill="auto"/>
          </w:tcPr>
          <w:p w:rsidR="00804981" w:rsidRPr="00804981" w:rsidRDefault="00804981" w:rsidP="00107CDA">
            <w:pPr>
              <w:spacing w:after="0" w:line="240" w:lineRule="auto"/>
              <w:jc w:val="both"/>
              <w:rPr>
                <w:rFonts w:ascii="Times New Roman" w:hAnsi="Times New Roman"/>
                <w:sz w:val="24"/>
              </w:rPr>
            </w:pPr>
            <w:r w:rsidRPr="00804981">
              <w:rPr>
                <w:rFonts w:ascii="Times New Roman" w:hAnsi="Times New Roman"/>
                <w:sz w:val="24"/>
              </w:rPr>
              <w:t>и</w:t>
            </w:r>
          </w:p>
        </w:tc>
        <w:tc>
          <w:tcPr>
            <w:tcW w:w="2516" w:type="pct"/>
            <w:shd w:val="clear" w:color="auto" w:fill="auto"/>
          </w:tcPr>
          <w:p w:rsidR="00804981" w:rsidRPr="005C5367" w:rsidRDefault="005C5367" w:rsidP="00107CDA">
            <w:pPr>
              <w:spacing w:after="0" w:line="240" w:lineRule="auto"/>
              <w:jc w:val="both"/>
              <w:rPr>
                <w:rFonts w:ascii="Times New Roman" w:hAnsi="Times New Roman"/>
                <w:sz w:val="24"/>
                <w:lang w:val="en-US"/>
              </w:rPr>
            </w:pPr>
            <w:r>
              <w:rPr>
                <w:rFonts w:ascii="Times New Roman" w:hAnsi="Times New Roman"/>
                <w:sz w:val="24"/>
                <w:lang w:val="en-US"/>
              </w:rPr>
              <w:t>and</w:t>
            </w:r>
          </w:p>
        </w:tc>
      </w:tr>
      <w:tr w:rsidR="00804981" w:rsidRPr="005C5367" w:rsidTr="005C5367">
        <w:trPr>
          <w:cantSplit/>
        </w:trPr>
        <w:tc>
          <w:tcPr>
            <w:tcW w:w="2484" w:type="pct"/>
            <w:shd w:val="clear" w:color="auto" w:fill="auto"/>
          </w:tcPr>
          <w:p w:rsidR="001E64C0" w:rsidRDefault="00804981" w:rsidP="00107CDA">
            <w:pPr>
              <w:spacing w:after="0" w:line="240" w:lineRule="auto"/>
              <w:jc w:val="both"/>
              <w:rPr>
                <w:rFonts w:ascii="Times New Roman" w:hAnsi="Times New Roman"/>
                <w:sz w:val="24"/>
              </w:rPr>
            </w:pPr>
            <w:r w:rsidRPr="00804981">
              <w:rPr>
                <w:rFonts w:ascii="Times New Roman" w:hAnsi="Times New Roman"/>
                <w:sz w:val="24"/>
              </w:rPr>
              <w:t>ОАО АКБ «Мутьбанк России», в лице Старшего вице-президента Мокея Абрамовича Иванова, действующего на основании доверенности</w:t>
            </w:r>
          </w:p>
          <w:p w:rsidR="00804981" w:rsidRPr="00804981" w:rsidRDefault="00804981" w:rsidP="00107CDA">
            <w:pPr>
              <w:spacing w:after="0" w:line="240" w:lineRule="auto"/>
              <w:jc w:val="both"/>
              <w:rPr>
                <w:rFonts w:ascii="Times New Roman" w:hAnsi="Times New Roman"/>
                <w:b/>
                <w:sz w:val="24"/>
              </w:rPr>
            </w:pPr>
            <w:r w:rsidRPr="00804981">
              <w:rPr>
                <w:rFonts w:ascii="Times New Roman" w:hAnsi="Times New Roman"/>
                <w:sz w:val="24"/>
              </w:rPr>
              <w:t>№01-1/167 от 03 марта 2009 года (</w:t>
            </w:r>
            <w:r w:rsidRPr="00804981">
              <w:rPr>
                <w:rFonts w:ascii="Times New Roman" w:hAnsi="Times New Roman"/>
                <w:b/>
                <w:sz w:val="24"/>
              </w:rPr>
              <w:t>далее – «Сторона 2»</w:t>
            </w:r>
            <w:r w:rsidRPr="00804981">
              <w:rPr>
                <w:rFonts w:ascii="Times New Roman" w:hAnsi="Times New Roman"/>
                <w:sz w:val="24"/>
              </w:rPr>
              <w:t>),</w:t>
            </w:r>
          </w:p>
        </w:tc>
        <w:tc>
          <w:tcPr>
            <w:tcW w:w="2516" w:type="pct"/>
            <w:shd w:val="clear" w:color="auto" w:fill="auto"/>
          </w:tcPr>
          <w:p w:rsidR="00804981" w:rsidRPr="005C5367" w:rsidRDefault="005C5367" w:rsidP="005C5367">
            <w:pPr>
              <w:spacing w:after="0" w:line="240" w:lineRule="auto"/>
              <w:jc w:val="both"/>
              <w:rPr>
                <w:rFonts w:ascii="Times New Roman" w:hAnsi="Times New Roman"/>
                <w:sz w:val="24"/>
                <w:lang w:val="en-US"/>
              </w:rPr>
            </w:pPr>
            <w:r w:rsidRPr="005C5367">
              <w:rPr>
                <w:rFonts w:ascii="Times New Roman" w:hAnsi="Times New Roman"/>
                <w:sz w:val="24"/>
                <w:lang w:val="en-US"/>
              </w:rPr>
              <w:t>OAO AKB Mutbank Rossii, represented by Senior Vice President, Moke</w:t>
            </w:r>
            <w:r>
              <w:rPr>
                <w:rFonts w:ascii="Times New Roman" w:hAnsi="Times New Roman"/>
                <w:sz w:val="24"/>
                <w:lang w:val="en-US"/>
              </w:rPr>
              <w:t>y</w:t>
            </w:r>
            <w:r w:rsidRPr="005C5367">
              <w:rPr>
                <w:rFonts w:ascii="Times New Roman" w:hAnsi="Times New Roman"/>
                <w:sz w:val="24"/>
                <w:lang w:val="en-US"/>
              </w:rPr>
              <w:t xml:space="preserve"> Abramovich Ivanov, acting </w:t>
            </w:r>
            <w:r>
              <w:rPr>
                <w:rFonts w:ascii="Times New Roman" w:hAnsi="Times New Roman"/>
                <w:sz w:val="24"/>
                <w:lang w:val="en-US"/>
              </w:rPr>
              <w:t>on the basis of</w:t>
            </w:r>
            <w:r w:rsidRPr="005C5367">
              <w:rPr>
                <w:rFonts w:ascii="Times New Roman" w:hAnsi="Times New Roman"/>
                <w:sz w:val="24"/>
                <w:lang w:val="en-US"/>
              </w:rPr>
              <w:t xml:space="preserve"> </w:t>
            </w:r>
            <w:r>
              <w:rPr>
                <w:rFonts w:ascii="Times New Roman" w:hAnsi="Times New Roman"/>
                <w:sz w:val="24"/>
                <w:lang w:val="en-US"/>
              </w:rPr>
              <w:t>the</w:t>
            </w:r>
            <w:r w:rsidRPr="005C5367">
              <w:rPr>
                <w:rFonts w:ascii="Times New Roman" w:hAnsi="Times New Roman"/>
                <w:sz w:val="24"/>
                <w:lang w:val="en-US"/>
              </w:rPr>
              <w:t xml:space="preserve"> </w:t>
            </w:r>
            <w:r>
              <w:rPr>
                <w:rFonts w:ascii="Times New Roman" w:hAnsi="Times New Roman"/>
                <w:sz w:val="24"/>
                <w:lang w:val="en-US"/>
              </w:rPr>
              <w:t>P</w:t>
            </w:r>
            <w:r w:rsidRPr="005C5367">
              <w:rPr>
                <w:rFonts w:ascii="Times New Roman" w:hAnsi="Times New Roman"/>
                <w:sz w:val="24"/>
                <w:lang w:val="en-US"/>
              </w:rPr>
              <w:t xml:space="preserve">ower of </w:t>
            </w:r>
            <w:r>
              <w:rPr>
                <w:rFonts w:ascii="Times New Roman" w:hAnsi="Times New Roman"/>
                <w:sz w:val="24"/>
                <w:lang w:val="en-US"/>
              </w:rPr>
              <w:t>A</w:t>
            </w:r>
            <w:r w:rsidRPr="005C5367">
              <w:rPr>
                <w:rFonts w:ascii="Times New Roman" w:hAnsi="Times New Roman"/>
                <w:sz w:val="24"/>
                <w:lang w:val="en-US"/>
              </w:rPr>
              <w:t xml:space="preserve">ttorney No. 01-1/167 </w:t>
            </w:r>
            <w:r>
              <w:rPr>
                <w:rFonts w:ascii="Times New Roman" w:hAnsi="Times New Roman"/>
                <w:sz w:val="24"/>
                <w:lang w:val="en-US"/>
              </w:rPr>
              <w:t>dd.</w:t>
            </w:r>
            <w:r w:rsidRPr="005C5367">
              <w:rPr>
                <w:rFonts w:ascii="Times New Roman" w:hAnsi="Times New Roman"/>
                <w:sz w:val="24"/>
                <w:lang w:val="en-US"/>
              </w:rPr>
              <w:t xml:space="preserve"> March 03, 2009 </w:t>
            </w:r>
            <w:r w:rsidRPr="005C5367">
              <w:rPr>
                <w:rFonts w:ascii="Times New Roman" w:hAnsi="Times New Roman"/>
                <w:b/>
                <w:sz w:val="24"/>
                <w:lang w:val="en-US"/>
              </w:rPr>
              <w:t>(hereinafter referred to as the “Party 2”),</w:t>
            </w:r>
          </w:p>
        </w:tc>
      </w:tr>
      <w:tr w:rsidR="00804981" w:rsidRPr="00EE0FF2" w:rsidTr="005C5367">
        <w:trPr>
          <w:cantSplit/>
        </w:trPr>
        <w:tc>
          <w:tcPr>
            <w:tcW w:w="2484" w:type="pct"/>
            <w:shd w:val="clear" w:color="auto" w:fill="auto"/>
          </w:tcPr>
          <w:p w:rsidR="00804981" w:rsidRPr="00804981" w:rsidRDefault="00804981" w:rsidP="00107CDA">
            <w:pPr>
              <w:spacing w:after="0" w:line="240" w:lineRule="auto"/>
              <w:jc w:val="both"/>
              <w:rPr>
                <w:rFonts w:ascii="Times New Roman" w:hAnsi="Times New Roman"/>
                <w:sz w:val="24"/>
              </w:rPr>
            </w:pPr>
            <w:r w:rsidRPr="00804981">
              <w:rPr>
                <w:rFonts w:ascii="Times New Roman" w:hAnsi="Times New Roman"/>
                <w:sz w:val="24"/>
              </w:rPr>
              <w:t>(</w:t>
            </w:r>
            <w:r w:rsidRPr="00804981">
              <w:rPr>
                <w:rFonts w:ascii="Times New Roman" w:hAnsi="Times New Roman"/>
                <w:b/>
                <w:sz w:val="24"/>
              </w:rPr>
              <w:t>далее совместно именуемые «Стороны»</w:t>
            </w:r>
            <w:r w:rsidRPr="00804981">
              <w:rPr>
                <w:rFonts w:ascii="Times New Roman" w:hAnsi="Times New Roman"/>
                <w:sz w:val="24"/>
              </w:rPr>
              <w:t>)</w:t>
            </w:r>
          </w:p>
        </w:tc>
        <w:tc>
          <w:tcPr>
            <w:tcW w:w="2516" w:type="pct"/>
            <w:shd w:val="clear" w:color="auto" w:fill="auto"/>
          </w:tcPr>
          <w:p w:rsidR="00804981" w:rsidRPr="005C5367" w:rsidRDefault="005C5367" w:rsidP="005C5367">
            <w:pPr>
              <w:spacing w:after="0" w:line="240" w:lineRule="auto"/>
              <w:jc w:val="both"/>
              <w:rPr>
                <w:rFonts w:ascii="Times New Roman" w:hAnsi="Times New Roman"/>
                <w:b/>
                <w:sz w:val="24"/>
                <w:lang w:val="en-US"/>
              </w:rPr>
            </w:pPr>
            <w:r w:rsidRPr="005C5367">
              <w:rPr>
                <w:rFonts w:ascii="Times New Roman" w:hAnsi="Times New Roman"/>
                <w:b/>
                <w:sz w:val="24"/>
                <w:lang w:val="en-US"/>
              </w:rPr>
              <w:t>(hereinafter collectively referred to as the “Parties”)</w:t>
            </w:r>
          </w:p>
        </w:tc>
      </w:tr>
      <w:tr w:rsidR="00804981" w:rsidRPr="00EE0FF2" w:rsidTr="005C5367">
        <w:trPr>
          <w:cantSplit/>
        </w:trPr>
        <w:tc>
          <w:tcPr>
            <w:tcW w:w="2484" w:type="pct"/>
            <w:shd w:val="clear" w:color="auto" w:fill="auto"/>
          </w:tcPr>
          <w:p w:rsidR="00804981" w:rsidRPr="00804981" w:rsidRDefault="00804981" w:rsidP="00107CDA">
            <w:pPr>
              <w:spacing w:after="0" w:line="240" w:lineRule="auto"/>
              <w:jc w:val="both"/>
              <w:rPr>
                <w:rFonts w:ascii="Times New Roman" w:hAnsi="Times New Roman"/>
                <w:sz w:val="24"/>
              </w:rPr>
            </w:pPr>
            <w:r w:rsidRPr="00804981">
              <w:rPr>
                <w:rFonts w:ascii="Times New Roman" w:hAnsi="Times New Roman"/>
                <w:sz w:val="24"/>
              </w:rPr>
              <w:lastRenderedPageBreak/>
              <w:t>в рамках взаимодействия Сторон, подразумевающего все существующие и возможные в будущем отношения между ними, как договорные, так и иного характера (</w:t>
            </w:r>
            <w:r w:rsidRPr="00804981">
              <w:rPr>
                <w:rFonts w:ascii="Times New Roman" w:hAnsi="Times New Roman"/>
                <w:b/>
                <w:sz w:val="24"/>
              </w:rPr>
              <w:t>далее – «Сделка»</w:t>
            </w:r>
            <w:r w:rsidRPr="00804981">
              <w:rPr>
                <w:rFonts w:ascii="Times New Roman" w:hAnsi="Times New Roman"/>
                <w:sz w:val="24"/>
              </w:rPr>
              <w:t>), Стороны планируют обмениваться некоторой конфиденциальной информацией о каждой из Сторон, включающей, среди прочего, следующее:</w:t>
            </w:r>
          </w:p>
        </w:tc>
        <w:tc>
          <w:tcPr>
            <w:tcW w:w="2516" w:type="pct"/>
            <w:shd w:val="clear" w:color="auto" w:fill="auto"/>
          </w:tcPr>
          <w:p w:rsidR="00804981" w:rsidRPr="005C5367" w:rsidRDefault="005C5367" w:rsidP="00EE2880">
            <w:pPr>
              <w:spacing w:after="0" w:line="240" w:lineRule="auto"/>
              <w:jc w:val="both"/>
              <w:rPr>
                <w:rFonts w:ascii="Times New Roman" w:hAnsi="Times New Roman"/>
                <w:sz w:val="24"/>
                <w:lang w:val="en-US"/>
              </w:rPr>
            </w:pPr>
            <w:r>
              <w:rPr>
                <w:rFonts w:ascii="Times New Roman" w:hAnsi="Times New Roman"/>
                <w:sz w:val="24"/>
                <w:lang w:val="en-US"/>
              </w:rPr>
              <w:t>within the context of</w:t>
            </w:r>
            <w:r w:rsidRPr="005C5367">
              <w:rPr>
                <w:rFonts w:ascii="Times New Roman" w:hAnsi="Times New Roman"/>
                <w:sz w:val="24"/>
                <w:lang w:val="en-US"/>
              </w:rPr>
              <w:t xml:space="preserve"> interaction between </w:t>
            </w:r>
            <w:r w:rsidR="00EE2880">
              <w:rPr>
                <w:rFonts w:ascii="Times New Roman" w:hAnsi="Times New Roman"/>
                <w:sz w:val="24"/>
                <w:lang w:val="en-US"/>
              </w:rPr>
              <w:t xml:space="preserve">the </w:t>
            </w:r>
            <w:r w:rsidRPr="005C5367">
              <w:rPr>
                <w:rFonts w:ascii="Times New Roman" w:hAnsi="Times New Roman"/>
                <w:sz w:val="24"/>
                <w:lang w:val="en-US"/>
              </w:rPr>
              <w:t xml:space="preserve">Parties, </w:t>
            </w:r>
            <w:r w:rsidR="00EE2880" w:rsidRPr="00EE2880">
              <w:rPr>
                <w:rFonts w:ascii="Times New Roman" w:hAnsi="Times New Roman"/>
                <w:sz w:val="24"/>
                <w:lang w:val="en-US"/>
              </w:rPr>
              <w:t>implicating</w:t>
            </w:r>
            <w:r w:rsidRPr="005C5367">
              <w:rPr>
                <w:rFonts w:ascii="Times New Roman" w:hAnsi="Times New Roman"/>
                <w:sz w:val="24"/>
                <w:lang w:val="en-US"/>
              </w:rPr>
              <w:t xml:space="preserve"> all </w:t>
            </w:r>
            <w:r w:rsidR="00EE2880">
              <w:rPr>
                <w:rFonts w:ascii="Times New Roman" w:hAnsi="Times New Roman"/>
                <w:sz w:val="24"/>
                <w:lang w:val="en-US"/>
              </w:rPr>
              <w:t>existing</w:t>
            </w:r>
            <w:r w:rsidRPr="005C5367">
              <w:rPr>
                <w:rFonts w:ascii="Times New Roman" w:hAnsi="Times New Roman"/>
                <w:sz w:val="24"/>
                <w:lang w:val="en-US"/>
              </w:rPr>
              <w:t xml:space="preserve"> and possible future relationships between them, both contractual or otherwise (hereinafter </w:t>
            </w:r>
            <w:r w:rsidR="00EE2880">
              <w:rPr>
                <w:rFonts w:ascii="Times New Roman" w:hAnsi="Times New Roman"/>
                <w:sz w:val="24"/>
                <w:lang w:val="en-US"/>
              </w:rPr>
              <w:t xml:space="preserve">referred to as the </w:t>
            </w:r>
            <w:r w:rsidRPr="005C5367">
              <w:rPr>
                <w:rFonts w:ascii="Times New Roman" w:hAnsi="Times New Roman"/>
                <w:sz w:val="24"/>
                <w:lang w:val="en-US"/>
              </w:rPr>
              <w:t xml:space="preserve">“Transaction”), </w:t>
            </w:r>
            <w:r w:rsidR="00EE2880">
              <w:rPr>
                <w:rFonts w:ascii="Times New Roman" w:hAnsi="Times New Roman"/>
                <w:sz w:val="24"/>
                <w:lang w:val="en-US"/>
              </w:rPr>
              <w:t xml:space="preserve">the </w:t>
            </w:r>
            <w:r w:rsidRPr="005C5367">
              <w:rPr>
                <w:rFonts w:ascii="Times New Roman" w:hAnsi="Times New Roman"/>
                <w:sz w:val="24"/>
                <w:lang w:val="en-US"/>
              </w:rPr>
              <w:t xml:space="preserve">Parties </w:t>
            </w:r>
            <w:r w:rsidR="00EE2880">
              <w:rPr>
                <w:rFonts w:ascii="Times New Roman" w:hAnsi="Times New Roman"/>
                <w:sz w:val="24"/>
                <w:lang w:val="en-US"/>
              </w:rPr>
              <w:t>are planning to</w:t>
            </w:r>
            <w:r w:rsidRPr="005C5367">
              <w:rPr>
                <w:rFonts w:ascii="Times New Roman" w:hAnsi="Times New Roman"/>
                <w:sz w:val="24"/>
                <w:lang w:val="en-US"/>
              </w:rPr>
              <w:t xml:space="preserve"> share certain </w:t>
            </w:r>
            <w:r w:rsidR="00EE2880">
              <w:rPr>
                <w:rFonts w:ascii="Times New Roman" w:hAnsi="Times New Roman"/>
                <w:sz w:val="24"/>
                <w:lang w:val="en-US"/>
              </w:rPr>
              <w:t>confidential</w:t>
            </w:r>
            <w:r w:rsidRPr="005C5367">
              <w:rPr>
                <w:rFonts w:ascii="Times New Roman" w:hAnsi="Times New Roman"/>
                <w:sz w:val="24"/>
                <w:lang w:val="en-US"/>
              </w:rPr>
              <w:t xml:space="preserve"> information on each of the Parties including, but not limited to</w:t>
            </w:r>
            <w:r w:rsidR="00EE2880">
              <w:rPr>
                <w:rFonts w:ascii="Times New Roman" w:hAnsi="Times New Roman"/>
                <w:sz w:val="24"/>
                <w:lang w:val="en-US"/>
              </w:rPr>
              <w:t>:</w:t>
            </w:r>
          </w:p>
        </w:tc>
      </w:tr>
      <w:tr w:rsidR="00804981" w:rsidRPr="00EE0FF2" w:rsidTr="005C5367">
        <w:trPr>
          <w:cantSplit/>
        </w:trPr>
        <w:tc>
          <w:tcPr>
            <w:tcW w:w="2484" w:type="pct"/>
            <w:shd w:val="clear" w:color="auto" w:fill="auto"/>
          </w:tcPr>
          <w:p w:rsidR="00804981" w:rsidRPr="00804981" w:rsidRDefault="00804981" w:rsidP="00107CDA">
            <w:pPr>
              <w:spacing w:after="0" w:line="240" w:lineRule="auto"/>
              <w:jc w:val="both"/>
              <w:rPr>
                <w:rFonts w:ascii="Times New Roman" w:hAnsi="Times New Roman"/>
                <w:sz w:val="24"/>
              </w:rPr>
            </w:pPr>
            <w:r w:rsidRPr="00804981">
              <w:rPr>
                <w:rFonts w:ascii="Times New Roman" w:hAnsi="Times New Roman"/>
                <w:sz w:val="24"/>
              </w:rPr>
              <w:t>информацию о Сделке, а так же любые другие данные и информацию, анализ, коммерческую тайну, компиляции, отчеты, документы или иные материалы, касающиеся Сторон, в том числе информацию в письменном виде и информацию, переданную устно, словесно, электронным или иным путем.</w:t>
            </w:r>
          </w:p>
        </w:tc>
        <w:tc>
          <w:tcPr>
            <w:tcW w:w="2516" w:type="pct"/>
            <w:shd w:val="clear" w:color="auto" w:fill="auto"/>
          </w:tcPr>
          <w:p w:rsidR="00804981" w:rsidRPr="00EE2880" w:rsidRDefault="00EE2880" w:rsidP="00EE2880">
            <w:pPr>
              <w:spacing w:after="0" w:line="240" w:lineRule="auto"/>
              <w:jc w:val="both"/>
              <w:rPr>
                <w:rFonts w:ascii="Times New Roman" w:hAnsi="Times New Roman"/>
                <w:sz w:val="24"/>
                <w:lang w:val="en-US"/>
              </w:rPr>
            </w:pPr>
            <w:r w:rsidRPr="00EE2880">
              <w:rPr>
                <w:rFonts w:ascii="Times New Roman" w:hAnsi="Times New Roman"/>
                <w:sz w:val="24"/>
                <w:lang w:val="en-US"/>
              </w:rPr>
              <w:t xml:space="preserve">information on the Transaction, as well as any other data and information, analysis, </w:t>
            </w:r>
            <w:r>
              <w:rPr>
                <w:rFonts w:ascii="Times New Roman" w:hAnsi="Times New Roman"/>
                <w:sz w:val="24"/>
                <w:lang w:val="en-US"/>
              </w:rPr>
              <w:t>trade secret, compilations, reports</w:t>
            </w:r>
            <w:r w:rsidRPr="00EE2880">
              <w:rPr>
                <w:rFonts w:ascii="Times New Roman" w:hAnsi="Times New Roman"/>
                <w:sz w:val="24"/>
                <w:lang w:val="en-US"/>
              </w:rPr>
              <w:t>, documents and other materials relating to the Parties, including any information in writing and information communicated orally, verbally, electronically or otherwise</w:t>
            </w:r>
            <w:r>
              <w:rPr>
                <w:rFonts w:ascii="Times New Roman" w:hAnsi="Times New Roman"/>
                <w:sz w:val="24"/>
                <w:lang w:val="en-US"/>
              </w:rPr>
              <w:t>.</w:t>
            </w:r>
          </w:p>
        </w:tc>
      </w:tr>
      <w:tr w:rsidR="00804981" w:rsidRPr="00EE0FF2" w:rsidTr="005C5367">
        <w:trPr>
          <w:cantSplit/>
        </w:trPr>
        <w:tc>
          <w:tcPr>
            <w:tcW w:w="2484" w:type="pct"/>
          </w:tcPr>
          <w:p w:rsidR="00804981" w:rsidRPr="00804981" w:rsidRDefault="00804981" w:rsidP="00107CDA">
            <w:pPr>
              <w:spacing w:after="0" w:line="240" w:lineRule="auto"/>
              <w:jc w:val="both"/>
              <w:rPr>
                <w:rFonts w:ascii="Times New Roman" w:hAnsi="Times New Roman"/>
                <w:sz w:val="24"/>
              </w:rPr>
            </w:pPr>
            <w:r w:rsidRPr="00804981">
              <w:rPr>
                <w:rFonts w:ascii="Times New Roman" w:hAnsi="Times New Roman"/>
                <w:sz w:val="24"/>
              </w:rPr>
              <w:t xml:space="preserve">Конфиденциальная Информация будет храниться в тайне, не будет никаким образом и ни в каком виде предоставлена третьим лицам, за исключением сотрудников, аффилированных лиц и консультантов Сторон, ни полностью, ни частично, не будет использована Сторонами таким образом, который мог бы повлечь за собой прямой или косвенный ущерб, а также негативные </w:t>
            </w:r>
            <w:r w:rsidR="00723CE0">
              <w:rPr>
                <w:rFonts w:ascii="Times New Roman" w:hAnsi="Times New Roman"/>
                <w:sz w:val="24"/>
              </w:rPr>
              <w:t>и (или)</w:t>
            </w:r>
            <w:r w:rsidRPr="00804981">
              <w:rPr>
                <w:rFonts w:ascii="Times New Roman" w:hAnsi="Times New Roman"/>
                <w:sz w:val="24"/>
              </w:rPr>
              <w:t xml:space="preserve"> нежелательные последствия для другой Стороны за исключением случаев, когда предоставление Конфиденциальной Информации вызвано требованиями, основанными на положениях применимого законодательства.</w:t>
            </w:r>
          </w:p>
        </w:tc>
        <w:tc>
          <w:tcPr>
            <w:tcW w:w="2516" w:type="pct"/>
          </w:tcPr>
          <w:p w:rsidR="00804981" w:rsidRPr="00043F50" w:rsidRDefault="00043F50" w:rsidP="00F24059">
            <w:pPr>
              <w:spacing w:after="0" w:line="240" w:lineRule="auto"/>
              <w:jc w:val="both"/>
              <w:rPr>
                <w:rFonts w:ascii="Times New Roman" w:hAnsi="Times New Roman"/>
                <w:sz w:val="24"/>
                <w:lang w:val="en-US"/>
              </w:rPr>
            </w:pPr>
            <w:r w:rsidRPr="00043F50">
              <w:rPr>
                <w:rFonts w:ascii="Times New Roman" w:hAnsi="Times New Roman"/>
                <w:sz w:val="24"/>
                <w:lang w:val="en-US"/>
              </w:rPr>
              <w:t xml:space="preserve">Confidential information shall be kept </w:t>
            </w:r>
            <w:r>
              <w:rPr>
                <w:rFonts w:ascii="Times New Roman" w:hAnsi="Times New Roman"/>
                <w:sz w:val="24"/>
                <w:lang w:val="en-US"/>
              </w:rPr>
              <w:t>secret</w:t>
            </w:r>
            <w:r w:rsidRPr="00043F50">
              <w:rPr>
                <w:rFonts w:ascii="Times New Roman" w:hAnsi="Times New Roman"/>
                <w:sz w:val="24"/>
                <w:lang w:val="en-US"/>
              </w:rPr>
              <w:t xml:space="preserve"> and shall not be disclosed, in any way and in any form, to </w:t>
            </w:r>
            <w:r>
              <w:rPr>
                <w:rFonts w:ascii="Times New Roman" w:hAnsi="Times New Roman"/>
                <w:sz w:val="24"/>
                <w:lang w:val="en-US"/>
              </w:rPr>
              <w:t xml:space="preserve">the </w:t>
            </w:r>
            <w:r w:rsidRPr="00043F50">
              <w:rPr>
                <w:rFonts w:ascii="Times New Roman" w:hAnsi="Times New Roman"/>
                <w:sz w:val="24"/>
                <w:lang w:val="en-US"/>
              </w:rPr>
              <w:t xml:space="preserve">third parties, except for </w:t>
            </w:r>
            <w:r>
              <w:rPr>
                <w:rFonts w:ascii="Times New Roman" w:hAnsi="Times New Roman"/>
                <w:sz w:val="24"/>
                <w:lang w:val="en-US"/>
              </w:rPr>
              <w:t xml:space="preserve">the </w:t>
            </w:r>
            <w:r w:rsidRPr="00043F50">
              <w:rPr>
                <w:rFonts w:ascii="Times New Roman" w:hAnsi="Times New Roman"/>
                <w:sz w:val="24"/>
                <w:lang w:val="en-US"/>
              </w:rPr>
              <w:t>employees, affiliates, and consultants of the Parties, it shall</w:t>
            </w:r>
            <w:r w:rsidR="00F24059">
              <w:rPr>
                <w:rFonts w:ascii="Times New Roman" w:hAnsi="Times New Roman"/>
                <w:sz w:val="24"/>
                <w:lang w:val="en-US"/>
              </w:rPr>
              <w:t xml:space="preserve"> not</w:t>
            </w:r>
            <w:r w:rsidRPr="00043F50">
              <w:rPr>
                <w:rFonts w:ascii="Times New Roman" w:hAnsi="Times New Roman"/>
                <w:sz w:val="24"/>
                <w:lang w:val="en-US"/>
              </w:rPr>
              <w:t xml:space="preserve"> be used, fully or partially, by the Parties in a manner that would result in direct or consequential da</w:t>
            </w:r>
            <w:r>
              <w:rPr>
                <w:rFonts w:ascii="Times New Roman" w:hAnsi="Times New Roman"/>
                <w:sz w:val="24"/>
                <w:lang w:val="en-US"/>
              </w:rPr>
              <w:t>mages, as well as negative and</w:t>
            </w:r>
            <w:r w:rsidRPr="00043F50">
              <w:rPr>
                <w:rFonts w:ascii="Times New Roman" w:hAnsi="Times New Roman"/>
                <w:sz w:val="24"/>
                <w:lang w:val="en-US"/>
              </w:rPr>
              <w:t xml:space="preserve"> </w:t>
            </w:r>
            <w:r>
              <w:rPr>
                <w:rFonts w:ascii="Times New Roman" w:hAnsi="Times New Roman"/>
                <w:sz w:val="24"/>
                <w:lang w:val="en-US"/>
              </w:rPr>
              <w:t>(</w:t>
            </w:r>
            <w:r w:rsidRPr="00043F50">
              <w:rPr>
                <w:rFonts w:ascii="Times New Roman" w:hAnsi="Times New Roman"/>
                <w:sz w:val="24"/>
                <w:lang w:val="en-US"/>
              </w:rPr>
              <w:t>or</w:t>
            </w:r>
            <w:r>
              <w:rPr>
                <w:rFonts w:ascii="Times New Roman" w:hAnsi="Times New Roman"/>
                <w:sz w:val="24"/>
                <w:lang w:val="en-US"/>
              </w:rPr>
              <w:t>)</w:t>
            </w:r>
            <w:r w:rsidRPr="00043F50">
              <w:rPr>
                <w:rFonts w:ascii="Times New Roman" w:hAnsi="Times New Roman"/>
                <w:sz w:val="24"/>
                <w:lang w:val="en-US"/>
              </w:rPr>
              <w:t xml:space="preserve"> adverse effects </w:t>
            </w:r>
            <w:r>
              <w:rPr>
                <w:rFonts w:ascii="Times New Roman" w:hAnsi="Times New Roman"/>
                <w:sz w:val="24"/>
                <w:lang w:val="en-US"/>
              </w:rPr>
              <w:t>for</w:t>
            </w:r>
            <w:r w:rsidRPr="00043F50">
              <w:rPr>
                <w:rFonts w:ascii="Times New Roman" w:hAnsi="Times New Roman"/>
                <w:sz w:val="24"/>
                <w:lang w:val="en-US"/>
              </w:rPr>
              <w:t xml:space="preserve"> the other Party, except as </w:t>
            </w:r>
            <w:r>
              <w:rPr>
                <w:rFonts w:ascii="Times New Roman" w:hAnsi="Times New Roman"/>
                <w:sz w:val="24"/>
                <w:lang w:val="en-US"/>
              </w:rPr>
              <w:t xml:space="preserve">disclosure of Confidential information is required </w:t>
            </w:r>
            <w:r w:rsidRPr="00043F50">
              <w:rPr>
                <w:rFonts w:ascii="Times New Roman" w:hAnsi="Times New Roman"/>
                <w:sz w:val="24"/>
                <w:lang w:val="en-US"/>
              </w:rPr>
              <w:t>upon a claim based on the provisions of applicable law</w:t>
            </w:r>
            <w:r w:rsidR="00F24059">
              <w:rPr>
                <w:rFonts w:ascii="Times New Roman" w:hAnsi="Times New Roman"/>
                <w:sz w:val="24"/>
                <w:lang w:val="en-US"/>
              </w:rPr>
              <w:t>.</w:t>
            </w:r>
          </w:p>
        </w:tc>
      </w:tr>
    </w:tbl>
    <w:p w:rsidR="003E5D34" w:rsidRPr="00043F50" w:rsidRDefault="003E5D34" w:rsidP="00DC4563">
      <w:pPr>
        <w:spacing w:after="120" w:line="240" w:lineRule="auto"/>
        <w:rPr>
          <w:rFonts w:ascii="Times New Roman" w:hAnsi="Times New Roman"/>
          <w:sz w:val="24"/>
          <w:lang w:val="en-US"/>
        </w:rPr>
      </w:pPr>
    </w:p>
    <w:sectPr w:rsidR="003E5D34" w:rsidRPr="00043F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2E" w:rsidRDefault="00D52E2E" w:rsidP="00723CE0">
      <w:pPr>
        <w:spacing w:after="0" w:line="240" w:lineRule="auto"/>
      </w:pPr>
      <w:r>
        <w:separator/>
      </w:r>
    </w:p>
  </w:endnote>
  <w:endnote w:type="continuationSeparator" w:id="0">
    <w:p w:rsidR="00D52E2E" w:rsidRDefault="00D52E2E" w:rsidP="0072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2E" w:rsidRDefault="00D52E2E" w:rsidP="00723CE0">
      <w:pPr>
        <w:spacing w:after="0" w:line="240" w:lineRule="auto"/>
      </w:pPr>
      <w:r>
        <w:separator/>
      </w:r>
    </w:p>
  </w:footnote>
  <w:footnote w:type="continuationSeparator" w:id="0">
    <w:p w:rsidR="00D52E2E" w:rsidRDefault="00D52E2E" w:rsidP="00723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6C5A"/>
    <w:multiLevelType w:val="hybridMultilevel"/>
    <w:tmpl w:val="747AE2B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3442E0C"/>
    <w:multiLevelType w:val="hybridMultilevel"/>
    <w:tmpl w:val="8A8E0842"/>
    <w:lvl w:ilvl="0" w:tplc="749291E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767CE7"/>
    <w:multiLevelType w:val="hybridMultilevel"/>
    <w:tmpl w:val="543841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69"/>
    <w:rsid w:val="000006BB"/>
    <w:rsid w:val="000109EE"/>
    <w:rsid w:val="000428DC"/>
    <w:rsid w:val="00043F50"/>
    <w:rsid w:val="000567A2"/>
    <w:rsid w:val="0006792E"/>
    <w:rsid w:val="00085399"/>
    <w:rsid w:val="00095864"/>
    <w:rsid w:val="000C1981"/>
    <w:rsid w:val="000C36B1"/>
    <w:rsid w:val="000C38A9"/>
    <w:rsid w:val="000D1D2F"/>
    <w:rsid w:val="000E4D4C"/>
    <w:rsid w:val="000E60DD"/>
    <w:rsid w:val="000F502B"/>
    <w:rsid w:val="001010A9"/>
    <w:rsid w:val="00107CDA"/>
    <w:rsid w:val="0011349F"/>
    <w:rsid w:val="001236EB"/>
    <w:rsid w:val="00132300"/>
    <w:rsid w:val="00140A12"/>
    <w:rsid w:val="001420FE"/>
    <w:rsid w:val="00154E23"/>
    <w:rsid w:val="0016242F"/>
    <w:rsid w:val="001661EC"/>
    <w:rsid w:val="001678B6"/>
    <w:rsid w:val="001709DD"/>
    <w:rsid w:val="00173405"/>
    <w:rsid w:val="00186C65"/>
    <w:rsid w:val="001A3544"/>
    <w:rsid w:val="001C240B"/>
    <w:rsid w:val="001C2C19"/>
    <w:rsid w:val="001D0105"/>
    <w:rsid w:val="001E64C0"/>
    <w:rsid w:val="001E7058"/>
    <w:rsid w:val="001F067D"/>
    <w:rsid w:val="00210E41"/>
    <w:rsid w:val="00223538"/>
    <w:rsid w:val="00247F5A"/>
    <w:rsid w:val="00252743"/>
    <w:rsid w:val="002529D0"/>
    <w:rsid w:val="00252AF6"/>
    <w:rsid w:val="00255EC8"/>
    <w:rsid w:val="00261389"/>
    <w:rsid w:val="00273CE4"/>
    <w:rsid w:val="00280144"/>
    <w:rsid w:val="002829D5"/>
    <w:rsid w:val="002A3CD9"/>
    <w:rsid w:val="002A4260"/>
    <w:rsid w:val="002D1F66"/>
    <w:rsid w:val="002D4934"/>
    <w:rsid w:val="002D5011"/>
    <w:rsid w:val="002D7E11"/>
    <w:rsid w:val="00312076"/>
    <w:rsid w:val="003131E2"/>
    <w:rsid w:val="00314E02"/>
    <w:rsid w:val="003205A4"/>
    <w:rsid w:val="00330EC1"/>
    <w:rsid w:val="003320D4"/>
    <w:rsid w:val="00352B3E"/>
    <w:rsid w:val="00380D4E"/>
    <w:rsid w:val="00385DB7"/>
    <w:rsid w:val="00387F77"/>
    <w:rsid w:val="00391C25"/>
    <w:rsid w:val="003A1153"/>
    <w:rsid w:val="003C1B54"/>
    <w:rsid w:val="003D0FC2"/>
    <w:rsid w:val="003D2C2F"/>
    <w:rsid w:val="003E4071"/>
    <w:rsid w:val="003E5D34"/>
    <w:rsid w:val="003F7757"/>
    <w:rsid w:val="004026B7"/>
    <w:rsid w:val="0041621B"/>
    <w:rsid w:val="004323E7"/>
    <w:rsid w:val="00436217"/>
    <w:rsid w:val="004536D2"/>
    <w:rsid w:val="00461BF7"/>
    <w:rsid w:val="0046423A"/>
    <w:rsid w:val="00464B5B"/>
    <w:rsid w:val="00467576"/>
    <w:rsid w:val="00495EB8"/>
    <w:rsid w:val="004C33A5"/>
    <w:rsid w:val="004C345A"/>
    <w:rsid w:val="004E4E2D"/>
    <w:rsid w:val="004E5246"/>
    <w:rsid w:val="004E6183"/>
    <w:rsid w:val="005073B8"/>
    <w:rsid w:val="0051051C"/>
    <w:rsid w:val="00535AAE"/>
    <w:rsid w:val="0053785F"/>
    <w:rsid w:val="00552F9B"/>
    <w:rsid w:val="0055713C"/>
    <w:rsid w:val="00597E2E"/>
    <w:rsid w:val="005A7B00"/>
    <w:rsid w:val="005B7495"/>
    <w:rsid w:val="005B7FE0"/>
    <w:rsid w:val="005C4A91"/>
    <w:rsid w:val="005C5367"/>
    <w:rsid w:val="005D4535"/>
    <w:rsid w:val="005D7313"/>
    <w:rsid w:val="005E6E3D"/>
    <w:rsid w:val="005F5D03"/>
    <w:rsid w:val="0060310B"/>
    <w:rsid w:val="006103DD"/>
    <w:rsid w:val="00614C20"/>
    <w:rsid w:val="00615E54"/>
    <w:rsid w:val="00627B60"/>
    <w:rsid w:val="00633EAF"/>
    <w:rsid w:val="00646F08"/>
    <w:rsid w:val="0067607F"/>
    <w:rsid w:val="006946E5"/>
    <w:rsid w:val="006A66D3"/>
    <w:rsid w:val="006B7AEF"/>
    <w:rsid w:val="006C5B92"/>
    <w:rsid w:val="006D7088"/>
    <w:rsid w:val="006E200E"/>
    <w:rsid w:val="006F0CB2"/>
    <w:rsid w:val="007014A0"/>
    <w:rsid w:val="00723CE0"/>
    <w:rsid w:val="007250E7"/>
    <w:rsid w:val="007321C9"/>
    <w:rsid w:val="007357A9"/>
    <w:rsid w:val="00744F53"/>
    <w:rsid w:val="00750FF0"/>
    <w:rsid w:val="00754486"/>
    <w:rsid w:val="00755FE9"/>
    <w:rsid w:val="00760092"/>
    <w:rsid w:val="0076036B"/>
    <w:rsid w:val="00761B11"/>
    <w:rsid w:val="007714F3"/>
    <w:rsid w:val="0078395C"/>
    <w:rsid w:val="007A29DB"/>
    <w:rsid w:val="007A7167"/>
    <w:rsid w:val="007B09CC"/>
    <w:rsid w:val="007B62E4"/>
    <w:rsid w:val="007C0053"/>
    <w:rsid w:val="007C693A"/>
    <w:rsid w:val="007C73B0"/>
    <w:rsid w:val="007D383B"/>
    <w:rsid w:val="007E42A4"/>
    <w:rsid w:val="007F1BB6"/>
    <w:rsid w:val="007F5F70"/>
    <w:rsid w:val="008034DD"/>
    <w:rsid w:val="00804981"/>
    <w:rsid w:val="008067A2"/>
    <w:rsid w:val="00812EF2"/>
    <w:rsid w:val="008143EC"/>
    <w:rsid w:val="00815D89"/>
    <w:rsid w:val="0082718F"/>
    <w:rsid w:val="0083296B"/>
    <w:rsid w:val="0083533C"/>
    <w:rsid w:val="00837C3A"/>
    <w:rsid w:val="008403A8"/>
    <w:rsid w:val="008450A0"/>
    <w:rsid w:val="00864D9C"/>
    <w:rsid w:val="008760D8"/>
    <w:rsid w:val="008802A8"/>
    <w:rsid w:val="008861BF"/>
    <w:rsid w:val="00890E8B"/>
    <w:rsid w:val="00897AEA"/>
    <w:rsid w:val="008A2549"/>
    <w:rsid w:val="008D17A3"/>
    <w:rsid w:val="008D3706"/>
    <w:rsid w:val="008D3974"/>
    <w:rsid w:val="008E478B"/>
    <w:rsid w:val="008F09B1"/>
    <w:rsid w:val="008F4EE6"/>
    <w:rsid w:val="00913CA5"/>
    <w:rsid w:val="0091647F"/>
    <w:rsid w:val="00935C30"/>
    <w:rsid w:val="009435B5"/>
    <w:rsid w:val="0095036A"/>
    <w:rsid w:val="009703C5"/>
    <w:rsid w:val="00973263"/>
    <w:rsid w:val="009800B5"/>
    <w:rsid w:val="009925E3"/>
    <w:rsid w:val="009C411D"/>
    <w:rsid w:val="009C5B50"/>
    <w:rsid w:val="009E49C5"/>
    <w:rsid w:val="009F7010"/>
    <w:rsid w:val="00A06421"/>
    <w:rsid w:val="00A10C1E"/>
    <w:rsid w:val="00A1299D"/>
    <w:rsid w:val="00A149F1"/>
    <w:rsid w:val="00A37F2C"/>
    <w:rsid w:val="00A431FF"/>
    <w:rsid w:val="00A44562"/>
    <w:rsid w:val="00A61DFF"/>
    <w:rsid w:val="00A74FBC"/>
    <w:rsid w:val="00A75A84"/>
    <w:rsid w:val="00A85158"/>
    <w:rsid w:val="00AA1AC1"/>
    <w:rsid w:val="00AA5327"/>
    <w:rsid w:val="00AE0515"/>
    <w:rsid w:val="00AF077D"/>
    <w:rsid w:val="00B1080D"/>
    <w:rsid w:val="00B154DC"/>
    <w:rsid w:val="00B25435"/>
    <w:rsid w:val="00B30341"/>
    <w:rsid w:val="00B34B35"/>
    <w:rsid w:val="00B439DA"/>
    <w:rsid w:val="00B469C0"/>
    <w:rsid w:val="00B51893"/>
    <w:rsid w:val="00B65B13"/>
    <w:rsid w:val="00B7044B"/>
    <w:rsid w:val="00B86E02"/>
    <w:rsid w:val="00B9748E"/>
    <w:rsid w:val="00BA43D7"/>
    <w:rsid w:val="00BB14EA"/>
    <w:rsid w:val="00BB30AD"/>
    <w:rsid w:val="00BB76E4"/>
    <w:rsid w:val="00BC674F"/>
    <w:rsid w:val="00BC7C7B"/>
    <w:rsid w:val="00BE5C26"/>
    <w:rsid w:val="00BE7B39"/>
    <w:rsid w:val="00C050C3"/>
    <w:rsid w:val="00C0714F"/>
    <w:rsid w:val="00C27769"/>
    <w:rsid w:val="00C3533F"/>
    <w:rsid w:val="00C426EB"/>
    <w:rsid w:val="00C43D71"/>
    <w:rsid w:val="00C5356E"/>
    <w:rsid w:val="00C55588"/>
    <w:rsid w:val="00C67DB6"/>
    <w:rsid w:val="00C85017"/>
    <w:rsid w:val="00C85D4A"/>
    <w:rsid w:val="00C93598"/>
    <w:rsid w:val="00C96ABF"/>
    <w:rsid w:val="00C96EE8"/>
    <w:rsid w:val="00C9705B"/>
    <w:rsid w:val="00CB07E5"/>
    <w:rsid w:val="00CE09A9"/>
    <w:rsid w:val="00D04A96"/>
    <w:rsid w:val="00D05D1F"/>
    <w:rsid w:val="00D05F5A"/>
    <w:rsid w:val="00D17992"/>
    <w:rsid w:val="00D244D0"/>
    <w:rsid w:val="00D2465A"/>
    <w:rsid w:val="00D4146F"/>
    <w:rsid w:val="00D4431B"/>
    <w:rsid w:val="00D51D32"/>
    <w:rsid w:val="00D52E2E"/>
    <w:rsid w:val="00D56BF5"/>
    <w:rsid w:val="00D67EDC"/>
    <w:rsid w:val="00D75F18"/>
    <w:rsid w:val="00D77B25"/>
    <w:rsid w:val="00D8331D"/>
    <w:rsid w:val="00D861C3"/>
    <w:rsid w:val="00D92D01"/>
    <w:rsid w:val="00D93A75"/>
    <w:rsid w:val="00D956F6"/>
    <w:rsid w:val="00D97511"/>
    <w:rsid w:val="00DA0539"/>
    <w:rsid w:val="00DB339F"/>
    <w:rsid w:val="00DB498A"/>
    <w:rsid w:val="00DB568F"/>
    <w:rsid w:val="00DC4563"/>
    <w:rsid w:val="00DE269B"/>
    <w:rsid w:val="00DF0344"/>
    <w:rsid w:val="00DF5EED"/>
    <w:rsid w:val="00DF6A70"/>
    <w:rsid w:val="00E003E2"/>
    <w:rsid w:val="00E046CF"/>
    <w:rsid w:val="00E43FF7"/>
    <w:rsid w:val="00E467BE"/>
    <w:rsid w:val="00E53E46"/>
    <w:rsid w:val="00E54932"/>
    <w:rsid w:val="00E843B3"/>
    <w:rsid w:val="00E9327F"/>
    <w:rsid w:val="00E933E0"/>
    <w:rsid w:val="00E96B6B"/>
    <w:rsid w:val="00EA551D"/>
    <w:rsid w:val="00EA7107"/>
    <w:rsid w:val="00EE018E"/>
    <w:rsid w:val="00EE0FF2"/>
    <w:rsid w:val="00EE2639"/>
    <w:rsid w:val="00EE2880"/>
    <w:rsid w:val="00EF182A"/>
    <w:rsid w:val="00EF1A15"/>
    <w:rsid w:val="00EF4C1D"/>
    <w:rsid w:val="00F03560"/>
    <w:rsid w:val="00F24059"/>
    <w:rsid w:val="00F276CD"/>
    <w:rsid w:val="00F44CAA"/>
    <w:rsid w:val="00F46176"/>
    <w:rsid w:val="00F54EC7"/>
    <w:rsid w:val="00F55DAC"/>
    <w:rsid w:val="00F65AC3"/>
    <w:rsid w:val="00F70CDB"/>
    <w:rsid w:val="00F72BFD"/>
    <w:rsid w:val="00F7552E"/>
    <w:rsid w:val="00F82DA0"/>
    <w:rsid w:val="00F91F1E"/>
    <w:rsid w:val="00F93A7E"/>
    <w:rsid w:val="00F96DCE"/>
    <w:rsid w:val="00FA2277"/>
    <w:rsid w:val="00FA6F33"/>
    <w:rsid w:val="00FB0940"/>
    <w:rsid w:val="00FB1E73"/>
    <w:rsid w:val="00FB59AD"/>
    <w:rsid w:val="00FB7665"/>
    <w:rsid w:val="00FC1457"/>
    <w:rsid w:val="00FC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76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semiHidden/>
    <w:rsid w:val="005073B8"/>
    <w:pPr>
      <w:ind w:left="720" w:hanging="720"/>
      <w:jc w:val="both"/>
    </w:pPr>
    <w:rPr>
      <w:rFonts w:eastAsia="SimSun"/>
      <w:lang w:val="en-US" w:eastAsia="zh-CN"/>
    </w:rPr>
  </w:style>
  <w:style w:type="paragraph" w:customStyle="1" w:styleId="1">
    <w:name w:val="Без интервала1"/>
    <w:rsid w:val="00C27769"/>
    <w:rPr>
      <w:rFonts w:ascii="Calibri" w:hAnsi="Calibri"/>
      <w:sz w:val="22"/>
      <w:szCs w:val="22"/>
    </w:rPr>
  </w:style>
  <w:style w:type="paragraph" w:customStyle="1" w:styleId="10">
    <w:name w:val="Абзац списка1"/>
    <w:basedOn w:val="a"/>
    <w:rsid w:val="00C27769"/>
    <w:pPr>
      <w:ind w:left="720"/>
    </w:pPr>
  </w:style>
  <w:style w:type="table" w:styleId="a3">
    <w:name w:val="Table Grid"/>
    <w:basedOn w:val="a1"/>
    <w:rsid w:val="00C277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723CE0"/>
    <w:pPr>
      <w:tabs>
        <w:tab w:val="center" w:pos="4677"/>
        <w:tab w:val="right" w:pos="9355"/>
      </w:tabs>
    </w:pPr>
  </w:style>
  <w:style w:type="character" w:customStyle="1" w:styleId="a5">
    <w:name w:val="Верхний колонтитул Знак"/>
    <w:link w:val="a4"/>
    <w:rsid w:val="00723CE0"/>
    <w:rPr>
      <w:rFonts w:ascii="Calibri" w:hAnsi="Calibri"/>
      <w:sz w:val="22"/>
      <w:szCs w:val="22"/>
      <w:lang w:eastAsia="ru-RU"/>
    </w:rPr>
  </w:style>
  <w:style w:type="paragraph" w:styleId="a6">
    <w:name w:val="footer"/>
    <w:basedOn w:val="a"/>
    <w:link w:val="a7"/>
    <w:rsid w:val="00723CE0"/>
    <w:pPr>
      <w:tabs>
        <w:tab w:val="center" w:pos="4677"/>
        <w:tab w:val="right" w:pos="9355"/>
      </w:tabs>
    </w:pPr>
  </w:style>
  <w:style w:type="character" w:customStyle="1" w:styleId="a7">
    <w:name w:val="Нижний колонтитул Знак"/>
    <w:link w:val="a6"/>
    <w:rsid w:val="00723CE0"/>
    <w:rPr>
      <w:rFonts w:ascii="Calibri" w:hAnsi="Calibri"/>
      <w:sz w:val="22"/>
      <w:szCs w:val="22"/>
      <w:lang w:eastAsia="ru-RU"/>
    </w:rPr>
  </w:style>
  <w:style w:type="character" w:styleId="a8">
    <w:name w:val="Hyperlink"/>
    <w:basedOn w:val="a0"/>
    <w:rsid w:val="00F24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76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semiHidden/>
    <w:rsid w:val="005073B8"/>
    <w:pPr>
      <w:ind w:left="720" w:hanging="720"/>
      <w:jc w:val="both"/>
    </w:pPr>
    <w:rPr>
      <w:rFonts w:eastAsia="SimSun"/>
      <w:lang w:val="en-US" w:eastAsia="zh-CN"/>
    </w:rPr>
  </w:style>
  <w:style w:type="paragraph" w:customStyle="1" w:styleId="1">
    <w:name w:val="Без интервала1"/>
    <w:rsid w:val="00C27769"/>
    <w:rPr>
      <w:rFonts w:ascii="Calibri" w:hAnsi="Calibri"/>
      <w:sz w:val="22"/>
      <w:szCs w:val="22"/>
    </w:rPr>
  </w:style>
  <w:style w:type="paragraph" w:customStyle="1" w:styleId="10">
    <w:name w:val="Абзац списка1"/>
    <w:basedOn w:val="a"/>
    <w:rsid w:val="00C27769"/>
    <w:pPr>
      <w:ind w:left="720"/>
    </w:pPr>
  </w:style>
  <w:style w:type="table" w:styleId="a3">
    <w:name w:val="Table Grid"/>
    <w:basedOn w:val="a1"/>
    <w:rsid w:val="00C277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723CE0"/>
    <w:pPr>
      <w:tabs>
        <w:tab w:val="center" w:pos="4677"/>
        <w:tab w:val="right" w:pos="9355"/>
      </w:tabs>
    </w:pPr>
  </w:style>
  <w:style w:type="character" w:customStyle="1" w:styleId="a5">
    <w:name w:val="Верхний колонтитул Знак"/>
    <w:link w:val="a4"/>
    <w:rsid w:val="00723CE0"/>
    <w:rPr>
      <w:rFonts w:ascii="Calibri" w:hAnsi="Calibri"/>
      <w:sz w:val="22"/>
      <w:szCs w:val="22"/>
      <w:lang w:eastAsia="ru-RU"/>
    </w:rPr>
  </w:style>
  <w:style w:type="paragraph" w:styleId="a6">
    <w:name w:val="footer"/>
    <w:basedOn w:val="a"/>
    <w:link w:val="a7"/>
    <w:rsid w:val="00723CE0"/>
    <w:pPr>
      <w:tabs>
        <w:tab w:val="center" w:pos="4677"/>
        <w:tab w:val="right" w:pos="9355"/>
      </w:tabs>
    </w:pPr>
  </w:style>
  <w:style w:type="character" w:customStyle="1" w:styleId="a7">
    <w:name w:val="Нижний колонтитул Знак"/>
    <w:link w:val="a6"/>
    <w:rsid w:val="00723CE0"/>
    <w:rPr>
      <w:rFonts w:ascii="Calibri" w:hAnsi="Calibri"/>
      <w:sz w:val="22"/>
      <w:szCs w:val="22"/>
      <w:lang w:eastAsia="ru-RU"/>
    </w:rPr>
  </w:style>
  <w:style w:type="character" w:styleId="a8">
    <w:name w:val="Hyperlink"/>
    <w:basedOn w:val="a0"/>
    <w:rsid w:val="00F24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Simwell translation services</dc:creator>
  <cp:lastModifiedBy>К.И.</cp:lastModifiedBy>
  <cp:revision>11</cp:revision>
  <dcterms:created xsi:type="dcterms:W3CDTF">2017-06-15T12:48:00Z</dcterms:created>
  <dcterms:modified xsi:type="dcterms:W3CDTF">2017-11-20T10:31:00Z</dcterms:modified>
</cp:coreProperties>
</file>