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4A0" w:firstRow="1" w:lastRow="0" w:firstColumn="1" w:lastColumn="0" w:noHBand="0" w:noVBand="1"/>
      </w:tblPr>
      <w:tblGrid>
        <w:gridCol w:w="7143"/>
        <w:gridCol w:w="7251"/>
      </w:tblGrid>
      <w:tr w:rsidR="0019128A" w:rsidRPr="0080209A" w:rsidTr="0019128A">
        <w:tc>
          <w:tcPr>
            <w:tcW w:w="7143" w:type="dxa"/>
          </w:tcPr>
          <w:p w:rsidR="0019128A" w:rsidRPr="0080209A" w:rsidRDefault="0019128A" w:rsidP="0080209A">
            <w:pPr>
              <w:spacing w:before="0" w:after="0"/>
              <w:rPr>
                <w:sz w:val="22"/>
              </w:rPr>
            </w:pPr>
            <w:r w:rsidRPr="0080209A">
              <w:rPr>
                <w:sz w:val="22"/>
              </w:rPr>
              <w:t>Аллергический ринит является широко распространенным заболеванием: по данным эпидемиологических исследований, в мире от 10 до 25% населения страдает сезонным или круглогодичным аллергическим ринитом; заболеваемос</w:t>
            </w:r>
            <w:r w:rsidRPr="0080209A">
              <w:rPr>
                <w:sz w:val="22"/>
              </w:rPr>
              <w:t>ть в России составляет 12,7-24%</w:t>
            </w:r>
            <w:r w:rsidRPr="0080209A">
              <w:rPr>
                <w:sz w:val="22"/>
              </w:rPr>
              <w:t>. Наиболее высокую распространенность АР выявляют в экологически неблагоприятных районах. В большинстве случаев отмечают сочетание АР и конъюнктивита (</w:t>
            </w:r>
            <w:proofErr w:type="spellStart"/>
            <w:r w:rsidRPr="0080209A">
              <w:rPr>
                <w:sz w:val="22"/>
              </w:rPr>
              <w:t>риноконъюнктивит</w:t>
            </w:r>
            <w:proofErr w:type="spellEnd"/>
            <w:r w:rsidRPr="0080209A">
              <w:rPr>
                <w:sz w:val="22"/>
              </w:rPr>
              <w:t>). Пик заболеваемости зарегистрирован в возрасте от 18 до 24 лет. Симптомы АР выявляют у 88% пациентов с бронхиальной астмой.</w:t>
            </w:r>
          </w:p>
          <w:p w:rsidR="0019128A" w:rsidRPr="0080209A" w:rsidRDefault="0019128A" w:rsidP="0080209A">
            <w:pPr>
              <w:spacing w:before="0" w:after="0"/>
              <w:rPr>
                <w:sz w:val="22"/>
              </w:rPr>
            </w:pPr>
          </w:p>
          <w:p w:rsidR="0019128A" w:rsidRPr="0080209A" w:rsidRDefault="0019128A" w:rsidP="0080209A">
            <w:pPr>
              <w:spacing w:before="0" w:after="0"/>
              <w:rPr>
                <w:sz w:val="22"/>
              </w:rPr>
            </w:pPr>
            <w:r w:rsidRPr="0080209A">
              <w:rPr>
                <w:sz w:val="22"/>
              </w:rPr>
              <w:t xml:space="preserve">Одними из самых эффективных и безопасных средств лечения аллергического ринита являются лекарственные формы </w:t>
            </w:r>
            <w:proofErr w:type="spellStart"/>
            <w:r w:rsidRPr="0080209A">
              <w:rPr>
                <w:sz w:val="22"/>
              </w:rPr>
              <w:t>глюкокортикостероидов</w:t>
            </w:r>
            <w:proofErr w:type="spellEnd"/>
            <w:r w:rsidRPr="0080209A">
              <w:rPr>
                <w:sz w:val="22"/>
              </w:rPr>
              <w:t xml:space="preserve"> (ГКС) для местного применения, обладающие принципиально иной </w:t>
            </w:r>
            <w:proofErr w:type="spellStart"/>
            <w:r w:rsidRPr="0080209A">
              <w:rPr>
                <w:sz w:val="22"/>
              </w:rPr>
              <w:t>фармакокинетикой</w:t>
            </w:r>
            <w:proofErr w:type="spellEnd"/>
            <w:r w:rsidRPr="0080209A">
              <w:rPr>
                <w:sz w:val="22"/>
              </w:rPr>
              <w:t xml:space="preserve"> по сравнению с ГКС системного действия: </w:t>
            </w:r>
            <w:proofErr w:type="spellStart"/>
            <w:r w:rsidRPr="0080209A">
              <w:rPr>
                <w:sz w:val="22"/>
              </w:rPr>
              <w:t>беклометазона</w:t>
            </w:r>
            <w:proofErr w:type="spellEnd"/>
            <w:r w:rsidRPr="0080209A">
              <w:rPr>
                <w:sz w:val="22"/>
              </w:rPr>
              <w:t xml:space="preserve"> </w:t>
            </w:r>
            <w:proofErr w:type="spellStart"/>
            <w:r w:rsidRPr="0080209A">
              <w:rPr>
                <w:sz w:val="22"/>
              </w:rPr>
              <w:t>дипропионат</w:t>
            </w:r>
            <w:proofErr w:type="spellEnd"/>
            <w:r w:rsidRPr="0080209A">
              <w:rPr>
                <w:sz w:val="22"/>
              </w:rPr>
              <w:t xml:space="preserve">, </w:t>
            </w:r>
            <w:proofErr w:type="spellStart"/>
            <w:r w:rsidRPr="0080209A">
              <w:rPr>
                <w:sz w:val="22"/>
              </w:rPr>
              <w:t>будесонид</w:t>
            </w:r>
            <w:proofErr w:type="spellEnd"/>
            <w:r w:rsidRPr="0080209A">
              <w:rPr>
                <w:sz w:val="22"/>
              </w:rPr>
              <w:t xml:space="preserve">, </w:t>
            </w:r>
            <w:proofErr w:type="spellStart"/>
            <w:r w:rsidRPr="0080209A">
              <w:rPr>
                <w:sz w:val="22"/>
              </w:rPr>
              <w:t>флутиказона</w:t>
            </w:r>
            <w:proofErr w:type="spellEnd"/>
            <w:r w:rsidRPr="0080209A">
              <w:rPr>
                <w:sz w:val="22"/>
              </w:rPr>
              <w:t xml:space="preserve"> </w:t>
            </w:r>
            <w:proofErr w:type="spellStart"/>
            <w:r w:rsidRPr="0080209A">
              <w:rPr>
                <w:sz w:val="22"/>
              </w:rPr>
              <w:t>пропионат</w:t>
            </w:r>
            <w:proofErr w:type="spellEnd"/>
            <w:r w:rsidRPr="0080209A">
              <w:rPr>
                <w:sz w:val="22"/>
              </w:rPr>
              <w:t xml:space="preserve">, </w:t>
            </w:r>
            <w:proofErr w:type="spellStart"/>
            <w:r w:rsidRPr="0080209A">
              <w:rPr>
                <w:sz w:val="22"/>
              </w:rPr>
              <w:t>мометазона</w:t>
            </w:r>
            <w:proofErr w:type="spellEnd"/>
            <w:r w:rsidRPr="0080209A">
              <w:rPr>
                <w:sz w:val="22"/>
              </w:rPr>
              <w:t xml:space="preserve"> </w:t>
            </w:r>
            <w:proofErr w:type="spellStart"/>
            <w:r w:rsidRPr="0080209A">
              <w:rPr>
                <w:sz w:val="22"/>
              </w:rPr>
              <w:t>фуроат</w:t>
            </w:r>
            <w:proofErr w:type="spellEnd"/>
            <w:r w:rsidRPr="0080209A">
              <w:rPr>
                <w:sz w:val="22"/>
              </w:rPr>
              <w:t xml:space="preserve">. </w:t>
            </w:r>
            <w:proofErr w:type="gramStart"/>
            <w:r w:rsidRPr="0080209A">
              <w:rPr>
                <w:sz w:val="22"/>
              </w:rPr>
              <w:t xml:space="preserve">Современные </w:t>
            </w:r>
            <w:proofErr w:type="spellStart"/>
            <w:r w:rsidRPr="0080209A">
              <w:rPr>
                <w:sz w:val="22"/>
              </w:rPr>
              <w:t>интраназальные</w:t>
            </w:r>
            <w:proofErr w:type="spellEnd"/>
            <w:r w:rsidRPr="0080209A">
              <w:rPr>
                <w:sz w:val="22"/>
              </w:rPr>
              <w:t xml:space="preserve"> ГКС обладают высокой местной активностью и незначительными системными эффектами, что объясняется их быстрой метаболической </w:t>
            </w:r>
            <w:proofErr w:type="spellStart"/>
            <w:r w:rsidRPr="0080209A">
              <w:rPr>
                <w:sz w:val="22"/>
              </w:rPr>
              <w:t>инактивацией</w:t>
            </w:r>
            <w:proofErr w:type="spellEnd"/>
            <w:r w:rsidRPr="0080209A">
              <w:rPr>
                <w:sz w:val="22"/>
              </w:rPr>
              <w:t xml:space="preserve"> в печени.</w:t>
            </w:r>
            <w:proofErr w:type="gramEnd"/>
            <w:r w:rsidRPr="0080209A">
              <w:rPr>
                <w:sz w:val="22"/>
              </w:rPr>
              <w:t xml:space="preserve"> После распыления любого спрея в полости носа от 60 до 96% введенного препарата проглатывается, попадает в желудок и всасывается. В результате даже при </w:t>
            </w:r>
            <w:proofErr w:type="spellStart"/>
            <w:r w:rsidRPr="0080209A">
              <w:rPr>
                <w:sz w:val="22"/>
              </w:rPr>
              <w:t>интразальном</w:t>
            </w:r>
            <w:proofErr w:type="spellEnd"/>
            <w:r w:rsidRPr="0080209A">
              <w:rPr>
                <w:sz w:val="22"/>
              </w:rPr>
              <w:t xml:space="preserve"> введении препарата могут развиться системные побочные эффекты. Но в случае с </w:t>
            </w:r>
            <w:proofErr w:type="gramStart"/>
            <w:r w:rsidRPr="0080209A">
              <w:rPr>
                <w:sz w:val="22"/>
              </w:rPr>
              <w:t>топическими</w:t>
            </w:r>
            <w:proofErr w:type="gramEnd"/>
            <w:r w:rsidRPr="0080209A">
              <w:rPr>
                <w:sz w:val="22"/>
              </w:rPr>
              <w:t xml:space="preserve"> ГКС этого не происходит из-за крайне низкой </w:t>
            </w:r>
            <w:proofErr w:type="spellStart"/>
            <w:r w:rsidRPr="0080209A">
              <w:rPr>
                <w:sz w:val="22"/>
              </w:rPr>
              <w:t>биодоступности</w:t>
            </w:r>
            <w:proofErr w:type="spellEnd"/>
            <w:r w:rsidRPr="0080209A">
              <w:rPr>
                <w:sz w:val="22"/>
              </w:rPr>
              <w:t xml:space="preserve">, которая присуща только специально разработанным для </w:t>
            </w:r>
            <w:proofErr w:type="spellStart"/>
            <w:r w:rsidRPr="0080209A">
              <w:rPr>
                <w:sz w:val="22"/>
              </w:rPr>
              <w:t>интраназального</w:t>
            </w:r>
            <w:proofErr w:type="spellEnd"/>
            <w:r w:rsidRPr="0080209A">
              <w:rPr>
                <w:sz w:val="22"/>
              </w:rPr>
              <w:t xml:space="preserve"> применения препаратам. Выбор именно этих препаратов является наиболее правильным при лечении аллергическо</w:t>
            </w:r>
            <w:r w:rsidR="009B40DD" w:rsidRPr="0080209A">
              <w:rPr>
                <w:sz w:val="22"/>
              </w:rPr>
              <w:t>го ринита на современном этапе.</w:t>
            </w:r>
          </w:p>
        </w:tc>
        <w:tc>
          <w:tcPr>
            <w:tcW w:w="7251" w:type="dxa"/>
          </w:tcPr>
          <w:p w:rsidR="0019128A" w:rsidRPr="0080209A" w:rsidRDefault="0019128A" w:rsidP="0080209A">
            <w:pPr>
              <w:spacing w:before="0" w:after="0"/>
              <w:rPr>
                <w:sz w:val="22"/>
                <w:lang w:val="en-US"/>
              </w:rPr>
            </w:pPr>
            <w:r w:rsidRPr="0080209A">
              <w:rPr>
                <w:sz w:val="22"/>
                <w:lang w:val="en-US"/>
              </w:rPr>
              <w:t xml:space="preserve">Allergic rhinitis is a widespread disease: according to epidemiological data, from 10% to 25% of the world population suffer from seasonal or perennial allergic rhinitis; in Russia incidence of the disease </w:t>
            </w:r>
            <w:r w:rsidRPr="0080209A">
              <w:rPr>
                <w:sz w:val="22"/>
                <w:lang w:val="en-US"/>
              </w:rPr>
              <w:t>comprises 12.7-24%</w:t>
            </w:r>
            <w:r w:rsidRPr="0080209A">
              <w:rPr>
                <w:sz w:val="22"/>
                <w:lang w:val="en-US"/>
              </w:rPr>
              <w:t>. The highest incidence of AR is observed in environmentally unfriendly regions. In most cases a combination of AR and conjunctivitis (</w:t>
            </w:r>
            <w:proofErr w:type="spellStart"/>
            <w:r w:rsidRPr="0080209A">
              <w:rPr>
                <w:sz w:val="22"/>
                <w:lang w:val="en-US"/>
              </w:rPr>
              <w:t>rhinoconjunctivitis</w:t>
            </w:r>
            <w:proofErr w:type="spellEnd"/>
            <w:r w:rsidRPr="0080209A">
              <w:rPr>
                <w:sz w:val="22"/>
                <w:lang w:val="en-US"/>
              </w:rPr>
              <w:t>) occurs. Peak morbidity is seen at the age from 18 to 24 years. Symptoms of AR are noted in 88% pa</w:t>
            </w:r>
            <w:r w:rsidRPr="0080209A">
              <w:rPr>
                <w:sz w:val="22"/>
                <w:lang w:val="en-US"/>
              </w:rPr>
              <w:t>tients with bronchial asthma</w:t>
            </w:r>
            <w:r w:rsidRPr="0080209A">
              <w:rPr>
                <w:sz w:val="22"/>
                <w:lang w:val="en-US"/>
              </w:rPr>
              <w:t>.</w:t>
            </w:r>
          </w:p>
          <w:p w:rsidR="0019128A" w:rsidRPr="0080209A" w:rsidRDefault="0019128A" w:rsidP="0080209A">
            <w:pPr>
              <w:spacing w:before="0" w:after="0"/>
              <w:outlineLvl w:val="0"/>
              <w:rPr>
                <w:sz w:val="22"/>
                <w:lang w:val="en-US"/>
              </w:rPr>
            </w:pPr>
          </w:p>
          <w:p w:rsidR="0019128A" w:rsidRPr="0080209A" w:rsidRDefault="0019128A" w:rsidP="0080209A">
            <w:pPr>
              <w:spacing w:before="0" w:after="0"/>
              <w:outlineLvl w:val="0"/>
              <w:rPr>
                <w:sz w:val="22"/>
                <w:lang w:val="en-US"/>
              </w:rPr>
            </w:pPr>
          </w:p>
          <w:p w:rsidR="0019128A" w:rsidRPr="0080209A" w:rsidRDefault="0019128A" w:rsidP="0080209A">
            <w:pPr>
              <w:spacing w:before="0" w:after="0"/>
              <w:outlineLvl w:val="0"/>
              <w:rPr>
                <w:sz w:val="22"/>
                <w:lang w:val="en-US"/>
              </w:rPr>
            </w:pPr>
          </w:p>
          <w:p w:rsidR="0019128A" w:rsidRPr="0080209A" w:rsidRDefault="0019128A" w:rsidP="0080209A">
            <w:pPr>
              <w:spacing w:before="0" w:after="0"/>
              <w:rPr>
                <w:sz w:val="22"/>
                <w:lang w:val="en-US"/>
              </w:rPr>
            </w:pPr>
            <w:r w:rsidRPr="0080209A">
              <w:rPr>
                <w:sz w:val="22"/>
                <w:lang w:val="en-US"/>
              </w:rPr>
              <w:t xml:space="preserve">One of the most effective and safe drugs to treat allergic rhinitis include pharmaceutical forms of topical </w:t>
            </w:r>
            <w:proofErr w:type="spellStart"/>
            <w:r w:rsidRPr="0080209A">
              <w:rPr>
                <w:sz w:val="22"/>
                <w:lang w:val="en-US"/>
              </w:rPr>
              <w:t>glucocorticosteroids</w:t>
            </w:r>
            <w:proofErr w:type="spellEnd"/>
            <w:r w:rsidRPr="0080209A">
              <w:rPr>
                <w:sz w:val="22"/>
                <w:lang w:val="en-US"/>
              </w:rPr>
              <w:t xml:space="preserve"> (GCSs) that possess essentially different pharmacokinetics compared to systemic GCSs: </w:t>
            </w:r>
            <w:proofErr w:type="spellStart"/>
            <w:r w:rsidRPr="0080209A">
              <w:rPr>
                <w:sz w:val="22"/>
                <w:lang w:val="en-US"/>
              </w:rPr>
              <w:t>beclomethasone</w:t>
            </w:r>
            <w:proofErr w:type="spellEnd"/>
            <w:r w:rsidRPr="0080209A">
              <w:rPr>
                <w:sz w:val="22"/>
                <w:lang w:val="en-US"/>
              </w:rPr>
              <w:t xml:space="preserve"> </w:t>
            </w:r>
            <w:proofErr w:type="spellStart"/>
            <w:r w:rsidRPr="0080209A">
              <w:rPr>
                <w:sz w:val="22"/>
                <w:lang w:val="en-US"/>
              </w:rPr>
              <w:t>dipropionate</w:t>
            </w:r>
            <w:proofErr w:type="spellEnd"/>
            <w:r w:rsidRPr="0080209A">
              <w:rPr>
                <w:sz w:val="22"/>
                <w:lang w:val="en-US"/>
              </w:rPr>
              <w:t xml:space="preserve">, budesonide, fluticasone propionate, </w:t>
            </w:r>
            <w:proofErr w:type="spellStart"/>
            <w:r w:rsidRPr="0080209A">
              <w:rPr>
                <w:sz w:val="22"/>
                <w:lang w:val="en-US"/>
              </w:rPr>
              <w:t>mometasone</w:t>
            </w:r>
            <w:proofErr w:type="spellEnd"/>
            <w:r w:rsidRPr="0080209A">
              <w:rPr>
                <w:sz w:val="22"/>
                <w:lang w:val="en-US"/>
              </w:rPr>
              <w:t xml:space="preserve"> </w:t>
            </w:r>
            <w:proofErr w:type="spellStart"/>
            <w:r w:rsidRPr="0080209A">
              <w:rPr>
                <w:sz w:val="22"/>
                <w:lang w:val="en-US"/>
              </w:rPr>
              <w:t>furoate</w:t>
            </w:r>
            <w:proofErr w:type="spellEnd"/>
            <w:r w:rsidRPr="0080209A">
              <w:rPr>
                <w:sz w:val="22"/>
                <w:lang w:val="en-US"/>
              </w:rPr>
              <w:t>. Modern intranasal GCSs are characterized by high local activity and minor systemic effects, which is explained by their rapid metabolic inactivation in liver. Upon dispersion of any spray in nasal cavity from 60% to 96% of administered drug is swallowed, ingested and absorbed. As a result, even with intranasal administration of the drug systemic adverse effects may develop. But it is not the case with topical GCSs due to their extremely low bioavailability that is attributable to specially developed drugs for intranasal administration. Selection of these particular drugs is the most optimal method to treat allergic rhinitis at the pr</w:t>
            </w:r>
            <w:r w:rsidR="009B40DD" w:rsidRPr="0080209A">
              <w:rPr>
                <w:sz w:val="22"/>
                <w:lang w:val="en-US"/>
              </w:rPr>
              <w:t>esent stage</w:t>
            </w:r>
            <w:r w:rsidRPr="0080209A">
              <w:rPr>
                <w:sz w:val="22"/>
                <w:lang w:val="en-US"/>
              </w:rPr>
              <w:t>.</w:t>
            </w:r>
          </w:p>
        </w:tc>
      </w:tr>
    </w:tbl>
    <w:p w:rsidR="009B40DD" w:rsidRPr="0080209A" w:rsidRDefault="009B40DD" w:rsidP="0080209A">
      <w:pPr>
        <w:spacing w:before="0" w:after="0"/>
        <w:rPr>
          <w:sz w:val="22"/>
          <w:lang w:val="en-US"/>
        </w:rPr>
      </w:pPr>
    </w:p>
    <w:p w:rsidR="009B40DD" w:rsidRPr="0080209A" w:rsidRDefault="009B40DD" w:rsidP="0080209A">
      <w:pPr>
        <w:spacing w:before="0" w:after="0"/>
        <w:rPr>
          <w:sz w:val="22"/>
          <w:lang w:val="en-US"/>
        </w:rPr>
      </w:pPr>
      <w:r w:rsidRPr="0080209A">
        <w:rPr>
          <w:sz w:val="22"/>
          <w:lang w:val="en-US"/>
        </w:rPr>
        <w:br w:type="page"/>
      </w:r>
    </w:p>
    <w:tbl>
      <w:tblPr>
        <w:tblStyle w:val="a3"/>
        <w:tblW w:w="0" w:type="auto"/>
        <w:tblInd w:w="108" w:type="dxa"/>
        <w:tblLook w:val="04A0" w:firstRow="1" w:lastRow="0" w:firstColumn="1" w:lastColumn="0" w:noHBand="0" w:noVBand="1"/>
      </w:tblPr>
      <w:tblGrid>
        <w:gridCol w:w="7143"/>
        <w:gridCol w:w="7251"/>
      </w:tblGrid>
      <w:tr w:rsidR="009B40DD" w:rsidRPr="0080209A" w:rsidTr="00343DE8">
        <w:tc>
          <w:tcPr>
            <w:tcW w:w="7143" w:type="dxa"/>
          </w:tcPr>
          <w:p w:rsidR="00894379" w:rsidRPr="0080209A" w:rsidRDefault="00894379" w:rsidP="0080209A">
            <w:pPr>
              <w:pStyle w:val="3"/>
              <w:shd w:val="clear" w:color="auto" w:fill="auto"/>
              <w:spacing w:line="240" w:lineRule="auto"/>
              <w:ind w:left="20" w:right="20" w:firstLine="0"/>
              <w:jc w:val="both"/>
            </w:pPr>
            <w:r w:rsidRPr="0080209A">
              <w:lastRenderedPageBreak/>
              <w:t>Все нежелательные реакции</w:t>
            </w:r>
            <w:r w:rsidRPr="0080209A">
              <w:t>,</w:t>
            </w:r>
            <w:r w:rsidRPr="0080209A">
              <w:t xml:space="preserve"> наиболее часто наблюдаемые у пациентов, получавших препарат </w:t>
            </w:r>
            <w:r w:rsidRPr="0080209A">
              <w:rPr>
                <w:lang w:val="en-US"/>
              </w:rPr>
              <w:t>XXX</w:t>
            </w:r>
            <w:r w:rsidRPr="0080209A">
              <w:t xml:space="preserve"> по сравнению с группой плацебо, представлены ниже. Эти данные были получены в ходе четырех регистрационных, </w:t>
            </w:r>
            <w:proofErr w:type="gramStart"/>
            <w:r w:rsidRPr="0080209A">
              <w:t>двойных-слепых</w:t>
            </w:r>
            <w:proofErr w:type="gramEnd"/>
            <w:r w:rsidRPr="0080209A">
              <w:t xml:space="preserve">, плацебо контролируемых исследований с участием 512 пациентов, получавших </w:t>
            </w:r>
            <w:r w:rsidRPr="0080209A">
              <w:rPr>
                <w:lang w:val="en-US"/>
              </w:rPr>
              <w:t>XXX</w:t>
            </w:r>
            <w:r w:rsidRPr="0080209A">
              <w:t xml:space="preserve"> ежедневно и 509 пациентов, получавших плацебо в течение 36 месяцев. В трех исследованиях участвовали 269 пациентов с диагнозом </w:t>
            </w:r>
            <w:proofErr w:type="spellStart"/>
            <w:r w:rsidRPr="0080209A">
              <w:t>рецидивирующе-ремиттирующий</w:t>
            </w:r>
            <w:proofErr w:type="spellEnd"/>
            <w:r w:rsidRPr="0080209A">
              <w:t xml:space="preserve"> рассеянный склероз, которые получали препарат </w:t>
            </w:r>
            <w:r w:rsidRPr="0080209A">
              <w:rPr>
                <w:lang w:val="en-US"/>
              </w:rPr>
              <w:t>XXX</w:t>
            </w:r>
            <w:r w:rsidRPr="0080209A">
              <w:t xml:space="preserve"> ежедневно в течение 35 месяцев и 271 пациент из группы плацебо. В четвертом исследовании участвовали 243 пациента (группа </w:t>
            </w:r>
            <w:r w:rsidR="002F573B" w:rsidRPr="0080209A">
              <w:rPr>
                <w:lang w:val="en-US"/>
              </w:rPr>
              <w:t>XXX</w:t>
            </w:r>
            <w:r w:rsidRPr="0080209A">
              <w:t>) с первым клиническим эпизодом заболевания</w:t>
            </w:r>
            <w:r w:rsidR="0080209A">
              <w:t>,</w:t>
            </w:r>
            <w:r w:rsidRPr="0080209A">
              <w:t xml:space="preserve"> у которых был установлен высокий риск развития клинически подтвержденного рассеянного склероза и 238 пациентов получавших плацебо. Продолжительность исследования составляла 36 месяцев.</w:t>
            </w:r>
          </w:p>
          <w:p w:rsidR="009B40DD" w:rsidRPr="0080209A" w:rsidRDefault="00894379" w:rsidP="0080209A">
            <w:pPr>
              <w:pStyle w:val="3"/>
              <w:shd w:val="clear" w:color="auto" w:fill="auto"/>
              <w:spacing w:line="240" w:lineRule="auto"/>
              <w:ind w:left="20" w:right="20" w:firstLine="0"/>
              <w:jc w:val="both"/>
            </w:pPr>
            <w:r w:rsidRPr="0080209A">
              <w:t xml:space="preserve">Частота развития нежелательных реакций классифицирована следующим образом: очень часто (&gt;1/10); часто (&gt;1/100, но &lt;1/10); нечасто (&gt;1/1000, но &lt;1/100); редко (&gt;1/10000, но </w:t>
            </w:r>
            <w:r w:rsidRPr="0080209A">
              <w:rPr>
                <w:rStyle w:val="105pt"/>
                <w:sz w:val="22"/>
                <w:szCs w:val="22"/>
              </w:rPr>
              <w:t>&lt;1/1000).</w:t>
            </w:r>
          </w:p>
        </w:tc>
        <w:tc>
          <w:tcPr>
            <w:tcW w:w="7251" w:type="dxa"/>
          </w:tcPr>
          <w:p w:rsidR="00762E20" w:rsidRPr="0080209A" w:rsidRDefault="00762E20" w:rsidP="0080209A">
            <w:pPr>
              <w:spacing w:before="0" w:after="0"/>
              <w:rPr>
                <w:sz w:val="22"/>
                <w:lang w:val="en-US"/>
              </w:rPr>
            </w:pPr>
            <w:r w:rsidRPr="0080209A">
              <w:rPr>
                <w:sz w:val="22"/>
                <w:lang w:val="en-US"/>
              </w:rPr>
              <w:t xml:space="preserve">All adverse </w:t>
            </w:r>
            <w:proofErr w:type="gramStart"/>
            <w:r w:rsidRPr="0080209A">
              <w:rPr>
                <w:sz w:val="22"/>
                <w:lang w:val="en-US"/>
              </w:rPr>
              <w:t xml:space="preserve">reactions, that were more frequently reported in </w:t>
            </w:r>
            <w:r w:rsidR="00894379" w:rsidRPr="0080209A">
              <w:rPr>
                <w:sz w:val="22"/>
                <w:lang w:val="en-US"/>
              </w:rPr>
              <w:t xml:space="preserve">XXX </w:t>
            </w:r>
            <w:r w:rsidRPr="0080209A">
              <w:rPr>
                <w:sz w:val="22"/>
                <w:lang w:val="en-US"/>
              </w:rPr>
              <w:t>vs. placebo-treated patients,</w:t>
            </w:r>
            <w:proofErr w:type="gramEnd"/>
            <w:r w:rsidRPr="0080209A">
              <w:rPr>
                <w:sz w:val="22"/>
                <w:lang w:val="en-US"/>
              </w:rPr>
              <w:t xml:space="preserve"> are presented below. These data were derived from four pivotal, double-blind, placebo-controlled trials with a total of 512 patients treated with </w:t>
            </w:r>
            <w:r w:rsidR="00894379" w:rsidRPr="0080209A">
              <w:rPr>
                <w:sz w:val="22"/>
                <w:lang w:val="en-US"/>
              </w:rPr>
              <w:t>XXX</w:t>
            </w:r>
            <w:r w:rsidRPr="0080209A">
              <w:rPr>
                <w:sz w:val="22"/>
                <w:lang w:val="en-US"/>
              </w:rPr>
              <w:t xml:space="preserve"> daily and 509 patients treated with placebo for up to 36 months. Three trials included a total of 269 patients with relapsing-remitting multiple sclerosis who received </w:t>
            </w:r>
            <w:r w:rsidR="00894379" w:rsidRPr="0080209A">
              <w:rPr>
                <w:sz w:val="22"/>
                <w:lang w:val="en-US"/>
              </w:rPr>
              <w:t>XXX</w:t>
            </w:r>
            <w:r w:rsidRPr="0080209A">
              <w:rPr>
                <w:sz w:val="22"/>
                <w:lang w:val="en-US"/>
              </w:rPr>
              <w:t xml:space="preserve"> daily for up to 35 months and 271 patients treated with placebo. The fourth trial in patients who experienced a first clinical episode of the disease and were determined to be at high risk of developing clinically definite multiple sclerosis included 243 patients treated with </w:t>
            </w:r>
            <w:r w:rsidR="002F573B" w:rsidRPr="0080209A">
              <w:rPr>
                <w:sz w:val="22"/>
                <w:lang w:val="en-US"/>
              </w:rPr>
              <w:t>XXX</w:t>
            </w:r>
            <w:r w:rsidRPr="0080209A">
              <w:rPr>
                <w:sz w:val="22"/>
                <w:lang w:val="en-US"/>
              </w:rPr>
              <w:t xml:space="preserve"> and 238 patients treated with placebo. The study duration was 36 months.</w:t>
            </w:r>
          </w:p>
          <w:p w:rsidR="002F573B" w:rsidRPr="0080209A" w:rsidRDefault="002F573B" w:rsidP="0080209A">
            <w:pPr>
              <w:spacing w:before="0" w:after="0"/>
              <w:rPr>
                <w:sz w:val="22"/>
                <w:lang w:val="en-US"/>
              </w:rPr>
            </w:pPr>
          </w:p>
          <w:p w:rsidR="002F573B" w:rsidRPr="0080209A" w:rsidRDefault="002F573B" w:rsidP="0080209A">
            <w:pPr>
              <w:spacing w:before="0" w:after="0"/>
              <w:rPr>
                <w:sz w:val="22"/>
                <w:lang w:val="en-US"/>
              </w:rPr>
            </w:pPr>
          </w:p>
          <w:p w:rsidR="002F573B" w:rsidRPr="0080209A" w:rsidRDefault="002F573B" w:rsidP="0080209A">
            <w:pPr>
              <w:spacing w:before="0" w:after="0"/>
              <w:rPr>
                <w:sz w:val="22"/>
                <w:lang w:val="en-US"/>
              </w:rPr>
            </w:pPr>
          </w:p>
          <w:p w:rsidR="009B40DD" w:rsidRPr="0080209A" w:rsidRDefault="00762E20" w:rsidP="0080209A">
            <w:pPr>
              <w:spacing w:before="0" w:after="0"/>
              <w:rPr>
                <w:sz w:val="22"/>
                <w:lang w:val="en-US"/>
              </w:rPr>
            </w:pPr>
            <w:r w:rsidRPr="0080209A">
              <w:rPr>
                <w:sz w:val="22"/>
                <w:lang w:val="en-US"/>
              </w:rPr>
              <w:t>The incidence of adverse reactions was classified as follows: very common (≥1/10); common (≥1/100 to &lt;1/10); uncommon (≥1/1,000 to &lt;1/100); rare (≥1/10,000 to &lt;1/1,000).</w:t>
            </w:r>
          </w:p>
        </w:tc>
      </w:tr>
    </w:tbl>
    <w:p w:rsidR="002F573B" w:rsidRPr="0080209A" w:rsidRDefault="002F573B" w:rsidP="0080209A">
      <w:pPr>
        <w:spacing w:before="0" w:after="0"/>
        <w:rPr>
          <w:sz w:val="22"/>
          <w:lang w:val="en-US"/>
        </w:rPr>
      </w:pPr>
    </w:p>
    <w:p w:rsidR="002F573B" w:rsidRPr="0080209A" w:rsidRDefault="002F573B" w:rsidP="0080209A">
      <w:pPr>
        <w:spacing w:before="0" w:after="0"/>
        <w:rPr>
          <w:sz w:val="22"/>
          <w:lang w:val="en-US"/>
        </w:rPr>
      </w:pPr>
      <w:r w:rsidRPr="0080209A">
        <w:rPr>
          <w:sz w:val="22"/>
          <w:lang w:val="en-US"/>
        </w:rPr>
        <w:br w:type="page"/>
      </w:r>
    </w:p>
    <w:tbl>
      <w:tblPr>
        <w:tblStyle w:val="a3"/>
        <w:tblW w:w="0" w:type="auto"/>
        <w:tblInd w:w="108" w:type="dxa"/>
        <w:tblLook w:val="04A0" w:firstRow="1" w:lastRow="0" w:firstColumn="1" w:lastColumn="0" w:noHBand="0" w:noVBand="1"/>
      </w:tblPr>
      <w:tblGrid>
        <w:gridCol w:w="7143"/>
        <w:gridCol w:w="7251"/>
      </w:tblGrid>
      <w:tr w:rsidR="00175FB9" w:rsidRPr="0080209A" w:rsidTr="00343DE8">
        <w:tc>
          <w:tcPr>
            <w:tcW w:w="7143" w:type="dxa"/>
          </w:tcPr>
          <w:p w:rsidR="00175FB9" w:rsidRPr="0080209A" w:rsidRDefault="00175FB9" w:rsidP="0080209A">
            <w:pPr>
              <w:pStyle w:val="Style20"/>
              <w:widowControl/>
              <w:jc w:val="both"/>
              <w:rPr>
                <w:rStyle w:val="FontStyle45"/>
                <w:spacing w:val="0"/>
                <w:sz w:val="22"/>
                <w:szCs w:val="22"/>
              </w:rPr>
            </w:pPr>
            <w:r w:rsidRPr="0080209A">
              <w:rPr>
                <w:rStyle w:val="FontStyle45"/>
                <w:spacing w:val="0"/>
                <w:sz w:val="22"/>
                <w:szCs w:val="22"/>
              </w:rPr>
              <w:lastRenderedPageBreak/>
              <w:t xml:space="preserve">02.07.12. ФГДС: </w:t>
            </w:r>
            <w:proofErr w:type="gramStart"/>
            <w:r w:rsidRPr="0080209A">
              <w:rPr>
                <w:rStyle w:val="FontStyle45"/>
                <w:spacing w:val="0"/>
                <w:sz w:val="22"/>
                <w:szCs w:val="22"/>
              </w:rPr>
              <w:t>ВРВ пищевода [-Пет.</w:t>
            </w:r>
            <w:proofErr w:type="gramEnd"/>
            <w:r w:rsidRPr="0080209A">
              <w:rPr>
                <w:rStyle w:val="FontStyle45"/>
                <w:spacing w:val="0"/>
                <w:sz w:val="22"/>
                <w:szCs w:val="22"/>
              </w:rPr>
              <w:t xml:space="preserve"> Недостаточность </w:t>
            </w:r>
            <w:proofErr w:type="spellStart"/>
            <w:r w:rsidRPr="0080209A">
              <w:rPr>
                <w:rStyle w:val="FontStyle45"/>
                <w:spacing w:val="0"/>
                <w:sz w:val="22"/>
                <w:szCs w:val="22"/>
              </w:rPr>
              <w:t>кардии</w:t>
            </w:r>
            <w:proofErr w:type="spellEnd"/>
            <w:r w:rsidRPr="0080209A">
              <w:rPr>
                <w:rStyle w:val="FontStyle45"/>
                <w:spacing w:val="0"/>
                <w:sz w:val="22"/>
                <w:szCs w:val="22"/>
              </w:rPr>
              <w:t xml:space="preserve">. </w:t>
            </w:r>
            <w:proofErr w:type="gramStart"/>
            <w:r w:rsidRPr="0080209A">
              <w:rPr>
                <w:rStyle w:val="FontStyle45"/>
                <w:spacing w:val="0"/>
                <w:sz w:val="22"/>
                <w:szCs w:val="22"/>
              </w:rPr>
              <w:t>Портальная</w:t>
            </w:r>
            <w:proofErr w:type="gramEnd"/>
            <w:r w:rsidRPr="0080209A">
              <w:rPr>
                <w:rStyle w:val="FontStyle45"/>
                <w:spacing w:val="0"/>
                <w:sz w:val="22"/>
                <w:szCs w:val="22"/>
              </w:rPr>
              <w:t xml:space="preserve"> </w:t>
            </w:r>
            <w:proofErr w:type="spellStart"/>
            <w:r w:rsidRPr="0080209A">
              <w:rPr>
                <w:rStyle w:val="FontStyle45"/>
                <w:spacing w:val="0"/>
                <w:sz w:val="22"/>
                <w:szCs w:val="22"/>
              </w:rPr>
              <w:t>гастропатия</w:t>
            </w:r>
            <w:proofErr w:type="spellEnd"/>
            <w:r w:rsidRPr="0080209A">
              <w:rPr>
                <w:rStyle w:val="FontStyle45"/>
                <w:spacing w:val="0"/>
                <w:sz w:val="22"/>
                <w:szCs w:val="22"/>
              </w:rPr>
              <w:t xml:space="preserve"> легкой степени. Эрозивный </w:t>
            </w:r>
            <w:proofErr w:type="spellStart"/>
            <w:r w:rsidRPr="0080209A">
              <w:rPr>
                <w:rStyle w:val="FontStyle45"/>
                <w:spacing w:val="0"/>
                <w:sz w:val="22"/>
                <w:szCs w:val="22"/>
              </w:rPr>
              <w:t>антральный</w:t>
            </w:r>
            <w:proofErr w:type="spellEnd"/>
            <w:r w:rsidRPr="0080209A">
              <w:rPr>
                <w:rStyle w:val="FontStyle45"/>
                <w:spacing w:val="0"/>
                <w:sz w:val="22"/>
                <w:szCs w:val="22"/>
              </w:rPr>
              <w:t xml:space="preserve"> гастрит на фоне атрофии. Деформация луковицы двенадцатиперстной кишки. Эрозивный </w:t>
            </w:r>
            <w:proofErr w:type="spellStart"/>
            <w:r w:rsidRPr="0080209A">
              <w:rPr>
                <w:rStyle w:val="FontStyle45"/>
                <w:spacing w:val="0"/>
                <w:sz w:val="22"/>
                <w:szCs w:val="22"/>
              </w:rPr>
              <w:t>бульбит</w:t>
            </w:r>
            <w:proofErr w:type="spellEnd"/>
            <w:r w:rsidRPr="0080209A">
              <w:rPr>
                <w:rStyle w:val="FontStyle45"/>
                <w:spacing w:val="0"/>
                <w:sz w:val="22"/>
                <w:szCs w:val="22"/>
              </w:rPr>
              <w:t xml:space="preserve">. </w:t>
            </w:r>
            <w:proofErr w:type="spellStart"/>
            <w:r w:rsidRPr="0080209A">
              <w:rPr>
                <w:rStyle w:val="FontStyle45"/>
                <w:spacing w:val="0"/>
                <w:sz w:val="22"/>
                <w:szCs w:val="22"/>
              </w:rPr>
              <w:t>Дуоденогастральный</w:t>
            </w:r>
            <w:proofErr w:type="spellEnd"/>
            <w:r w:rsidRPr="0080209A">
              <w:rPr>
                <w:rStyle w:val="FontStyle45"/>
                <w:spacing w:val="0"/>
                <w:sz w:val="22"/>
                <w:szCs w:val="22"/>
              </w:rPr>
              <w:t xml:space="preserve"> рефлюкс.</w:t>
            </w:r>
          </w:p>
          <w:p w:rsidR="00175FB9" w:rsidRPr="0080209A" w:rsidRDefault="00175FB9" w:rsidP="0080209A">
            <w:pPr>
              <w:pStyle w:val="Style20"/>
              <w:widowControl/>
              <w:jc w:val="both"/>
              <w:rPr>
                <w:rStyle w:val="FontStyle45"/>
                <w:spacing w:val="0"/>
                <w:sz w:val="22"/>
                <w:szCs w:val="22"/>
              </w:rPr>
            </w:pPr>
            <w:r w:rsidRPr="0080209A">
              <w:rPr>
                <w:rStyle w:val="FontStyle45"/>
                <w:spacing w:val="0"/>
                <w:sz w:val="22"/>
                <w:szCs w:val="22"/>
              </w:rPr>
              <w:t>03.07.12. Биопсия печени под контролем УЗИ. Гистологи</w:t>
            </w:r>
            <w:r w:rsidRPr="0080209A">
              <w:rPr>
                <w:rStyle w:val="FontStyle45"/>
                <w:spacing w:val="0"/>
                <w:sz w:val="22"/>
                <w:szCs w:val="22"/>
              </w:rPr>
              <w:t xml:space="preserve">я № Б-314309: гепатоцеллюлярный </w:t>
            </w:r>
            <w:r w:rsidRPr="0080209A">
              <w:rPr>
                <w:rStyle w:val="FontStyle45"/>
                <w:spacing w:val="0"/>
                <w:sz w:val="22"/>
                <w:szCs w:val="22"/>
              </w:rPr>
              <w:t>рак.</w:t>
            </w:r>
          </w:p>
          <w:p w:rsidR="00175FB9" w:rsidRPr="0080209A" w:rsidRDefault="00175FB9" w:rsidP="0080209A">
            <w:pPr>
              <w:pStyle w:val="Style20"/>
              <w:widowControl/>
              <w:jc w:val="both"/>
              <w:rPr>
                <w:rStyle w:val="FontStyle45"/>
                <w:spacing w:val="0"/>
                <w:sz w:val="22"/>
                <w:szCs w:val="22"/>
              </w:rPr>
            </w:pPr>
            <w:r w:rsidRPr="0080209A">
              <w:rPr>
                <w:rStyle w:val="FontStyle45"/>
                <w:spacing w:val="0"/>
                <w:sz w:val="22"/>
                <w:szCs w:val="22"/>
              </w:rPr>
              <w:t xml:space="preserve">06.07.12. УЗИ: печень не увеличена, диффузно неоднородна. На этом фоне в правой доле печени имеется неоднородная структура 15 и 68x61 мм (2 сливающихся узла). Желчный пузырь 120 х </w:t>
            </w:r>
            <w:smartTag w:uri="urn:schemas-microsoft-com:office:smarttags" w:element="metricconverter">
              <w:smartTagPr>
                <w:attr w:name="ProductID" w:val="40 мм"/>
              </w:smartTagPr>
              <w:r w:rsidRPr="0080209A">
                <w:rPr>
                  <w:rStyle w:val="FontStyle45"/>
                  <w:spacing w:val="0"/>
                  <w:sz w:val="22"/>
                  <w:szCs w:val="22"/>
                </w:rPr>
                <w:t>40 мм</w:t>
              </w:r>
            </w:smartTag>
            <w:r w:rsidRPr="0080209A">
              <w:rPr>
                <w:rStyle w:val="FontStyle45"/>
                <w:spacing w:val="0"/>
                <w:sz w:val="22"/>
                <w:szCs w:val="22"/>
              </w:rPr>
              <w:t xml:space="preserve">, стенки его неравномерно утолщены, в просвете единичный конкремент диаметром </w:t>
            </w:r>
            <w:smartTag w:uri="urn:schemas-microsoft-com:office:smarttags" w:element="metricconverter">
              <w:smartTagPr>
                <w:attr w:name="ProductID" w:val="12 мм"/>
              </w:smartTagPr>
              <w:r w:rsidRPr="0080209A">
                <w:rPr>
                  <w:rStyle w:val="FontStyle45"/>
                  <w:spacing w:val="0"/>
                  <w:sz w:val="22"/>
                  <w:szCs w:val="22"/>
                </w:rPr>
                <w:t>12 мм</w:t>
              </w:r>
            </w:smartTag>
            <w:r w:rsidRPr="0080209A">
              <w:rPr>
                <w:rStyle w:val="FontStyle45"/>
                <w:spacing w:val="0"/>
                <w:sz w:val="22"/>
                <w:szCs w:val="22"/>
              </w:rPr>
              <w:t xml:space="preserve">. Воротная вена диаметром </w:t>
            </w:r>
            <w:smartTag w:uri="urn:schemas-microsoft-com:office:smarttags" w:element="metricconverter">
              <w:smartTagPr>
                <w:attr w:name="ProductID" w:val="14 мм"/>
              </w:smartTagPr>
              <w:r w:rsidRPr="0080209A">
                <w:rPr>
                  <w:rStyle w:val="FontStyle45"/>
                  <w:spacing w:val="0"/>
                  <w:sz w:val="22"/>
                  <w:szCs w:val="22"/>
                </w:rPr>
                <w:t>14 мм</w:t>
              </w:r>
            </w:smartTag>
            <w:r w:rsidRPr="0080209A">
              <w:rPr>
                <w:rStyle w:val="FontStyle45"/>
                <w:spacing w:val="0"/>
                <w:sz w:val="22"/>
                <w:szCs w:val="22"/>
              </w:rPr>
              <w:t xml:space="preserve">. </w:t>
            </w:r>
            <w:proofErr w:type="spellStart"/>
            <w:r w:rsidRPr="0080209A">
              <w:rPr>
                <w:rStyle w:val="FontStyle45"/>
                <w:spacing w:val="0"/>
                <w:sz w:val="22"/>
                <w:szCs w:val="22"/>
              </w:rPr>
              <w:t>Визуализируемся</w:t>
            </w:r>
            <w:proofErr w:type="spellEnd"/>
            <w:r w:rsidRPr="0080209A">
              <w:rPr>
                <w:rStyle w:val="FontStyle45"/>
                <w:spacing w:val="0"/>
                <w:sz w:val="22"/>
                <w:szCs w:val="22"/>
              </w:rPr>
              <w:t xml:space="preserve"> расширение пупочной вены. Поджелудочная железа не изменена. Селезенка 160 х </w:t>
            </w:r>
            <w:smartTag w:uri="urn:schemas-microsoft-com:office:smarttags" w:element="metricconverter">
              <w:smartTagPr>
                <w:attr w:name="ProductID" w:val="90 мм"/>
              </w:smartTagPr>
              <w:r w:rsidRPr="0080209A">
                <w:rPr>
                  <w:rStyle w:val="FontStyle45"/>
                  <w:spacing w:val="0"/>
                  <w:sz w:val="22"/>
                  <w:szCs w:val="22"/>
                </w:rPr>
                <w:t>90 мм</w:t>
              </w:r>
            </w:smartTag>
            <w:proofErr w:type="gramStart"/>
            <w:r w:rsidRPr="0080209A">
              <w:rPr>
                <w:rStyle w:val="FontStyle45"/>
                <w:spacing w:val="0"/>
                <w:sz w:val="22"/>
                <w:szCs w:val="22"/>
              </w:rPr>
              <w:t>.</w:t>
            </w:r>
            <w:proofErr w:type="gramEnd"/>
            <w:r w:rsidRPr="0080209A">
              <w:rPr>
                <w:rStyle w:val="FontStyle45"/>
                <w:spacing w:val="0"/>
                <w:sz w:val="22"/>
                <w:szCs w:val="22"/>
              </w:rPr>
              <w:t xml:space="preserve"> </w:t>
            </w:r>
            <w:proofErr w:type="gramStart"/>
            <w:r w:rsidRPr="0080209A">
              <w:rPr>
                <w:rStyle w:val="FontStyle45"/>
                <w:spacing w:val="0"/>
                <w:sz w:val="22"/>
                <w:szCs w:val="22"/>
              </w:rPr>
              <w:t>о</w:t>
            </w:r>
            <w:proofErr w:type="gramEnd"/>
            <w:r w:rsidRPr="0080209A">
              <w:rPr>
                <w:rStyle w:val="FontStyle45"/>
                <w:spacing w:val="0"/>
                <w:sz w:val="22"/>
                <w:szCs w:val="22"/>
              </w:rPr>
              <w:t>днородная. Небольшое количество свободной жидкости в малом тазу.</w:t>
            </w:r>
          </w:p>
          <w:p w:rsidR="00175FB9" w:rsidRPr="0080209A" w:rsidRDefault="00175FB9" w:rsidP="0080209A">
            <w:pPr>
              <w:pStyle w:val="Style20"/>
              <w:widowControl/>
              <w:jc w:val="both"/>
              <w:rPr>
                <w:rStyle w:val="FontStyle45"/>
                <w:spacing w:val="0"/>
                <w:sz w:val="22"/>
                <w:szCs w:val="22"/>
              </w:rPr>
            </w:pPr>
            <w:r w:rsidRPr="0080209A">
              <w:rPr>
                <w:rStyle w:val="FontStyle45"/>
                <w:spacing w:val="0"/>
                <w:sz w:val="22"/>
                <w:szCs w:val="22"/>
              </w:rPr>
              <w:t xml:space="preserve">06.07.12. ПЭТ тела: </w:t>
            </w:r>
            <w:proofErr w:type="spellStart"/>
            <w:r w:rsidRPr="0080209A">
              <w:rPr>
                <w:rStyle w:val="FontStyle45"/>
                <w:spacing w:val="0"/>
                <w:sz w:val="22"/>
                <w:szCs w:val="22"/>
              </w:rPr>
              <w:t>гиперметаболизм</w:t>
            </w:r>
            <w:proofErr w:type="spellEnd"/>
            <w:r w:rsidRPr="0080209A">
              <w:rPr>
                <w:rStyle w:val="FontStyle45"/>
                <w:spacing w:val="0"/>
                <w:sz w:val="22"/>
                <w:szCs w:val="22"/>
              </w:rPr>
              <w:t xml:space="preserve"> глюкозы очагового характера в проекции пахово-бедренных лимфатических узлов справа.</w:t>
            </w:r>
          </w:p>
          <w:p w:rsidR="00175FB9" w:rsidRPr="0080209A" w:rsidRDefault="00175FB9" w:rsidP="0080209A">
            <w:pPr>
              <w:pStyle w:val="Style20"/>
              <w:widowControl/>
              <w:jc w:val="both"/>
              <w:rPr>
                <w:rStyle w:val="FontStyle45"/>
                <w:spacing w:val="0"/>
                <w:sz w:val="22"/>
                <w:szCs w:val="22"/>
              </w:rPr>
            </w:pPr>
            <w:r w:rsidRPr="0080209A">
              <w:rPr>
                <w:rStyle w:val="FontStyle45"/>
                <w:spacing w:val="0"/>
                <w:sz w:val="22"/>
                <w:szCs w:val="22"/>
              </w:rPr>
              <w:t xml:space="preserve">09.07.12. </w:t>
            </w:r>
            <w:proofErr w:type="gramStart"/>
            <w:r w:rsidRPr="0080209A">
              <w:rPr>
                <w:rStyle w:val="FontStyle45"/>
                <w:spacing w:val="0"/>
                <w:sz w:val="22"/>
                <w:szCs w:val="22"/>
              </w:rPr>
              <w:t>Рентгенография органов [рудной клетки: органы грудной клетки в пределах возрастной нормы.</w:t>
            </w:r>
            <w:proofErr w:type="gramEnd"/>
          </w:p>
          <w:p w:rsidR="00175FB9" w:rsidRPr="0080209A" w:rsidRDefault="00175FB9" w:rsidP="0080209A">
            <w:pPr>
              <w:spacing w:before="0" w:after="0"/>
              <w:rPr>
                <w:sz w:val="22"/>
              </w:rPr>
            </w:pPr>
            <w:r w:rsidRPr="0080209A">
              <w:rPr>
                <w:rStyle w:val="FontStyle45"/>
                <w:spacing w:val="0"/>
                <w:sz w:val="22"/>
                <w:szCs w:val="22"/>
              </w:rPr>
              <w:t xml:space="preserve">09.07.12. Операция: </w:t>
            </w:r>
            <w:proofErr w:type="spellStart"/>
            <w:r w:rsidRPr="0080209A">
              <w:rPr>
                <w:rStyle w:val="FontStyle45"/>
                <w:spacing w:val="0"/>
                <w:sz w:val="22"/>
                <w:szCs w:val="22"/>
              </w:rPr>
              <w:t>Химиоэмболизация</w:t>
            </w:r>
            <w:proofErr w:type="spellEnd"/>
            <w:r w:rsidRPr="0080209A">
              <w:rPr>
                <w:rStyle w:val="FontStyle45"/>
                <w:spacing w:val="0"/>
                <w:sz w:val="22"/>
                <w:szCs w:val="22"/>
              </w:rPr>
              <w:t xml:space="preserve"> печени с лекарственными препаратами. Верхняя </w:t>
            </w:r>
            <w:proofErr w:type="spellStart"/>
            <w:r w:rsidRPr="0080209A">
              <w:rPr>
                <w:rStyle w:val="FontStyle45"/>
                <w:spacing w:val="0"/>
                <w:sz w:val="22"/>
                <w:szCs w:val="22"/>
              </w:rPr>
              <w:t>мезентерикография</w:t>
            </w:r>
            <w:proofErr w:type="spellEnd"/>
            <w:r w:rsidRPr="0080209A">
              <w:rPr>
                <w:rStyle w:val="FontStyle45"/>
                <w:spacing w:val="0"/>
                <w:sz w:val="22"/>
                <w:szCs w:val="22"/>
              </w:rPr>
              <w:t xml:space="preserve">. </w:t>
            </w:r>
            <w:proofErr w:type="spellStart"/>
            <w:r w:rsidRPr="0080209A">
              <w:rPr>
                <w:rStyle w:val="FontStyle45"/>
                <w:spacing w:val="0"/>
                <w:sz w:val="22"/>
                <w:szCs w:val="22"/>
              </w:rPr>
              <w:t>Целиакография</w:t>
            </w:r>
            <w:proofErr w:type="spellEnd"/>
            <w:r w:rsidRPr="0080209A">
              <w:rPr>
                <w:rStyle w:val="FontStyle45"/>
                <w:spacing w:val="0"/>
                <w:sz w:val="22"/>
                <w:szCs w:val="22"/>
              </w:rPr>
              <w:t xml:space="preserve">. Вариант сосудистой анатомии левая печеночная артерия от левой желудочной артерии. Определяется кавернозная трансформация воротной вены и множественные </w:t>
            </w:r>
            <w:proofErr w:type="spellStart"/>
            <w:r w:rsidRPr="0080209A">
              <w:rPr>
                <w:rStyle w:val="FontStyle45"/>
                <w:spacing w:val="0"/>
                <w:sz w:val="22"/>
                <w:szCs w:val="22"/>
              </w:rPr>
              <w:t>забрюшйнные</w:t>
            </w:r>
            <w:proofErr w:type="spellEnd"/>
            <w:r w:rsidRPr="0080209A">
              <w:rPr>
                <w:rStyle w:val="FontStyle45"/>
                <w:spacing w:val="0"/>
                <w:sz w:val="22"/>
                <w:szCs w:val="22"/>
              </w:rPr>
              <w:t xml:space="preserve"> </w:t>
            </w:r>
            <w:proofErr w:type="spellStart"/>
            <w:r w:rsidRPr="0080209A">
              <w:rPr>
                <w:rStyle w:val="FontStyle45"/>
                <w:spacing w:val="0"/>
                <w:sz w:val="22"/>
                <w:szCs w:val="22"/>
              </w:rPr>
              <w:t>кодлатерали</w:t>
            </w:r>
            <w:proofErr w:type="spellEnd"/>
            <w:r w:rsidRPr="0080209A">
              <w:rPr>
                <w:rStyle w:val="FontStyle45"/>
                <w:spacing w:val="0"/>
                <w:sz w:val="22"/>
                <w:szCs w:val="22"/>
              </w:rPr>
              <w:t xml:space="preserve"> (проявление портальной гипертензии). </w:t>
            </w:r>
            <w:proofErr w:type="spellStart"/>
            <w:r w:rsidRPr="0080209A">
              <w:rPr>
                <w:rStyle w:val="FontStyle45"/>
                <w:spacing w:val="0"/>
                <w:sz w:val="22"/>
                <w:szCs w:val="22"/>
              </w:rPr>
              <w:t>Химиоэмболизация</w:t>
            </w:r>
            <w:proofErr w:type="spellEnd"/>
            <w:r w:rsidRPr="0080209A">
              <w:rPr>
                <w:rStyle w:val="FontStyle45"/>
                <w:spacing w:val="0"/>
                <w:sz w:val="22"/>
                <w:szCs w:val="22"/>
              </w:rPr>
              <w:t xml:space="preserve"> правой печеночной артерии 40 </w:t>
            </w:r>
            <w:proofErr w:type="spellStart"/>
            <w:r w:rsidRPr="0080209A">
              <w:rPr>
                <w:rStyle w:val="FontStyle45"/>
                <w:spacing w:val="0"/>
                <w:sz w:val="22"/>
                <w:szCs w:val="22"/>
              </w:rPr>
              <w:t>мт</w:t>
            </w:r>
            <w:proofErr w:type="spellEnd"/>
            <w:r w:rsidRPr="0080209A">
              <w:rPr>
                <w:rStyle w:val="FontStyle45"/>
                <w:spacing w:val="0"/>
                <w:sz w:val="22"/>
                <w:szCs w:val="22"/>
              </w:rPr>
              <w:t xml:space="preserve"> </w:t>
            </w:r>
            <w:proofErr w:type="spellStart"/>
            <w:r w:rsidRPr="0080209A">
              <w:rPr>
                <w:rStyle w:val="FontStyle45"/>
                <w:spacing w:val="0"/>
                <w:sz w:val="22"/>
                <w:szCs w:val="22"/>
              </w:rPr>
              <w:t>доксорубицина</w:t>
            </w:r>
            <w:proofErr w:type="spellEnd"/>
            <w:r w:rsidRPr="0080209A">
              <w:rPr>
                <w:rStyle w:val="FontStyle45"/>
                <w:spacing w:val="0"/>
                <w:sz w:val="22"/>
                <w:szCs w:val="22"/>
              </w:rPr>
              <w:t xml:space="preserve"> + 5 мл </w:t>
            </w:r>
            <w:proofErr w:type="spellStart"/>
            <w:r w:rsidRPr="0080209A">
              <w:rPr>
                <w:rStyle w:val="FontStyle45"/>
                <w:spacing w:val="0"/>
                <w:sz w:val="22"/>
                <w:szCs w:val="22"/>
              </w:rPr>
              <w:t>липиодола</w:t>
            </w:r>
            <w:proofErr w:type="spellEnd"/>
            <w:r w:rsidRPr="0080209A">
              <w:rPr>
                <w:rStyle w:val="FontStyle45"/>
                <w:spacing w:val="0"/>
                <w:sz w:val="22"/>
                <w:szCs w:val="22"/>
              </w:rPr>
              <w:t>.</w:t>
            </w:r>
          </w:p>
        </w:tc>
        <w:tc>
          <w:tcPr>
            <w:tcW w:w="7251" w:type="dxa"/>
          </w:tcPr>
          <w:p w:rsidR="00175FB9" w:rsidRPr="0080209A" w:rsidRDefault="00175FB9" w:rsidP="0080209A">
            <w:pPr>
              <w:tabs>
                <w:tab w:val="left" w:pos="480"/>
                <w:tab w:val="left" w:pos="4080"/>
              </w:tabs>
              <w:spacing w:before="0" w:after="0"/>
              <w:rPr>
                <w:sz w:val="22"/>
                <w:lang w:val="en-US"/>
              </w:rPr>
            </w:pPr>
            <w:r w:rsidRPr="0080209A">
              <w:rPr>
                <w:sz w:val="22"/>
                <w:lang w:val="en-US"/>
              </w:rPr>
              <w:t xml:space="preserve">02.07.2012 </w:t>
            </w:r>
            <w:proofErr w:type="spellStart"/>
            <w:r w:rsidRPr="0080209A">
              <w:rPr>
                <w:sz w:val="22"/>
                <w:lang w:val="en-GB"/>
              </w:rPr>
              <w:t>Fiberoptic</w:t>
            </w:r>
            <w:proofErr w:type="spellEnd"/>
            <w:r w:rsidRPr="0080209A">
              <w:rPr>
                <w:sz w:val="22"/>
                <w:lang w:val="en-US"/>
              </w:rPr>
              <w:t xml:space="preserve"> </w:t>
            </w:r>
            <w:proofErr w:type="spellStart"/>
            <w:r w:rsidRPr="0080209A">
              <w:rPr>
                <w:sz w:val="22"/>
                <w:lang w:val="en-GB"/>
              </w:rPr>
              <w:t>gastroduodenoscopy</w:t>
            </w:r>
            <w:proofErr w:type="spellEnd"/>
            <w:r w:rsidRPr="0080209A">
              <w:rPr>
                <w:sz w:val="22"/>
                <w:lang w:val="en-US"/>
              </w:rPr>
              <w:t xml:space="preserve">: esophageal protuberant varicosities (I-II grade). Incompetent cardiac sphincter. Low-grade portal hypertension. Erosive </w:t>
            </w:r>
            <w:proofErr w:type="spellStart"/>
            <w:r w:rsidRPr="0080209A">
              <w:rPr>
                <w:sz w:val="22"/>
                <w:lang w:val="en-US"/>
              </w:rPr>
              <w:t>antral</w:t>
            </w:r>
            <w:proofErr w:type="spellEnd"/>
            <w:r w:rsidRPr="0080209A">
              <w:rPr>
                <w:sz w:val="22"/>
                <w:lang w:val="en-US"/>
              </w:rPr>
              <w:t xml:space="preserve"> gastritis associated with atrophy. Duodenum bulb deformation. Erosive </w:t>
            </w:r>
            <w:proofErr w:type="spellStart"/>
            <w:r w:rsidRPr="0080209A">
              <w:rPr>
                <w:sz w:val="22"/>
                <w:lang w:val="en-US"/>
              </w:rPr>
              <w:t>bulbitis</w:t>
            </w:r>
            <w:proofErr w:type="spellEnd"/>
            <w:r w:rsidRPr="0080209A">
              <w:rPr>
                <w:sz w:val="22"/>
                <w:lang w:val="en-US"/>
              </w:rPr>
              <w:t xml:space="preserve">. </w:t>
            </w:r>
            <w:proofErr w:type="spellStart"/>
            <w:r w:rsidRPr="0080209A">
              <w:rPr>
                <w:sz w:val="22"/>
                <w:lang w:val="en-US"/>
              </w:rPr>
              <w:t>Duodenogastric</w:t>
            </w:r>
            <w:proofErr w:type="spellEnd"/>
            <w:r w:rsidRPr="0080209A">
              <w:rPr>
                <w:sz w:val="22"/>
                <w:lang w:val="en-US"/>
              </w:rPr>
              <w:t xml:space="preserve"> reflux.</w:t>
            </w:r>
          </w:p>
          <w:p w:rsidR="00175FB9" w:rsidRPr="0080209A" w:rsidRDefault="00175FB9" w:rsidP="0080209A">
            <w:pPr>
              <w:tabs>
                <w:tab w:val="left" w:pos="480"/>
                <w:tab w:val="left" w:pos="4080"/>
              </w:tabs>
              <w:spacing w:before="0" w:after="0"/>
              <w:rPr>
                <w:rStyle w:val="FontStyle45"/>
                <w:spacing w:val="0"/>
                <w:sz w:val="22"/>
                <w:szCs w:val="22"/>
                <w:lang w:val="en-US"/>
              </w:rPr>
            </w:pPr>
            <w:r w:rsidRPr="0080209A">
              <w:rPr>
                <w:sz w:val="22"/>
                <w:lang w:val="en-US"/>
              </w:rPr>
              <w:t xml:space="preserve">03.07.2012 </w:t>
            </w:r>
            <w:r w:rsidRPr="0080209A">
              <w:rPr>
                <w:sz w:val="22"/>
                <w:lang w:val="en-GB"/>
              </w:rPr>
              <w:t>Ultrasound-guided</w:t>
            </w:r>
            <w:r w:rsidRPr="0080209A">
              <w:rPr>
                <w:sz w:val="22"/>
                <w:lang w:val="en-US"/>
              </w:rPr>
              <w:t xml:space="preserve"> </w:t>
            </w:r>
            <w:r w:rsidRPr="0080209A">
              <w:rPr>
                <w:sz w:val="22"/>
                <w:lang w:val="en-GB"/>
              </w:rPr>
              <w:t xml:space="preserve">liver biopsy. Histology No. </w:t>
            </w:r>
            <w:r w:rsidRPr="0080209A">
              <w:rPr>
                <w:rStyle w:val="FontStyle45"/>
                <w:spacing w:val="0"/>
                <w:sz w:val="22"/>
                <w:szCs w:val="22"/>
              </w:rPr>
              <w:t>Б</w:t>
            </w:r>
            <w:r w:rsidRPr="0080209A">
              <w:rPr>
                <w:rStyle w:val="FontStyle45"/>
                <w:spacing w:val="0"/>
                <w:sz w:val="22"/>
                <w:szCs w:val="22"/>
                <w:lang w:val="en-US"/>
              </w:rPr>
              <w:t>-314309: hepatocellular carcinoma.</w:t>
            </w:r>
          </w:p>
          <w:p w:rsidR="00175FB9" w:rsidRPr="0080209A" w:rsidRDefault="00175FB9" w:rsidP="0080209A">
            <w:pPr>
              <w:tabs>
                <w:tab w:val="left" w:pos="480"/>
                <w:tab w:val="left" w:pos="4080"/>
              </w:tabs>
              <w:spacing w:before="0" w:after="0"/>
              <w:rPr>
                <w:rStyle w:val="FontStyle45"/>
                <w:spacing w:val="0"/>
                <w:sz w:val="22"/>
                <w:szCs w:val="22"/>
                <w:lang w:val="en-GB"/>
              </w:rPr>
            </w:pPr>
            <w:r w:rsidRPr="0080209A">
              <w:rPr>
                <w:rStyle w:val="FontStyle45"/>
                <w:spacing w:val="0"/>
                <w:sz w:val="22"/>
                <w:szCs w:val="22"/>
                <w:lang w:val="en-US"/>
              </w:rPr>
              <w:t xml:space="preserve">06.07.2012 </w:t>
            </w:r>
            <w:r w:rsidRPr="0080209A">
              <w:rPr>
                <w:sz w:val="22"/>
                <w:lang w:val="en-GB"/>
              </w:rPr>
              <w:t xml:space="preserve">Ultrasound examination: the liver is not enlarged, diffusely inhomogeneous. In this examination an inhomogeneous structure of </w:t>
            </w:r>
            <w:r w:rsidRPr="0080209A">
              <w:rPr>
                <w:sz w:val="22"/>
                <w:u w:val="single"/>
                <w:lang w:val="en-GB"/>
              </w:rPr>
              <w:t>35 and 68x61 mm</w:t>
            </w:r>
            <w:r w:rsidRPr="0080209A">
              <w:rPr>
                <w:sz w:val="22"/>
                <w:lang w:val="en-GB"/>
              </w:rPr>
              <w:t xml:space="preserve"> (2 confluent nodes) is observed in the right lobe of the liver. The gallbladder is </w:t>
            </w:r>
            <w:r w:rsidRPr="0080209A">
              <w:rPr>
                <w:rStyle w:val="FontStyle45"/>
                <w:spacing w:val="0"/>
                <w:sz w:val="22"/>
                <w:szCs w:val="22"/>
                <w:lang w:val="en-US"/>
              </w:rPr>
              <w:t>120</w:t>
            </w:r>
            <w:r w:rsidRPr="0080209A">
              <w:rPr>
                <w:rStyle w:val="FontStyle45"/>
                <w:spacing w:val="0"/>
                <w:sz w:val="22"/>
                <w:szCs w:val="22"/>
              </w:rPr>
              <w:t>х</w:t>
            </w:r>
            <w:r w:rsidRPr="0080209A">
              <w:rPr>
                <w:rStyle w:val="FontStyle45"/>
                <w:spacing w:val="0"/>
                <w:sz w:val="22"/>
                <w:szCs w:val="22"/>
                <w:lang w:val="en-US"/>
              </w:rPr>
              <w:t xml:space="preserve">40 mm, its walls are unevenly thickened, </w:t>
            </w:r>
            <w:proofErr w:type="gramStart"/>
            <w:r w:rsidRPr="0080209A">
              <w:rPr>
                <w:rStyle w:val="FontStyle45"/>
                <w:spacing w:val="0"/>
                <w:sz w:val="22"/>
                <w:szCs w:val="22"/>
                <w:lang w:val="en-US"/>
              </w:rPr>
              <w:t>a</w:t>
            </w:r>
            <w:proofErr w:type="gramEnd"/>
            <w:r w:rsidRPr="0080209A">
              <w:rPr>
                <w:rStyle w:val="FontStyle45"/>
                <w:spacing w:val="0"/>
                <w:sz w:val="22"/>
                <w:szCs w:val="22"/>
                <w:lang w:val="en-US"/>
              </w:rPr>
              <w:t xml:space="preserve"> single gallstone with diameter of </w:t>
            </w:r>
            <w:smartTag w:uri="urn:schemas-microsoft-com:office:smarttags" w:element="metricconverter">
              <w:smartTagPr>
                <w:attr w:name="ProductID" w:val="12 mm"/>
              </w:smartTagPr>
              <w:r w:rsidRPr="0080209A">
                <w:rPr>
                  <w:rStyle w:val="FontStyle45"/>
                  <w:spacing w:val="0"/>
                  <w:sz w:val="22"/>
                  <w:szCs w:val="22"/>
                  <w:lang w:val="en-US"/>
                </w:rPr>
                <w:t>12 mm</w:t>
              </w:r>
            </w:smartTag>
            <w:r w:rsidRPr="0080209A">
              <w:rPr>
                <w:rStyle w:val="FontStyle45"/>
                <w:spacing w:val="0"/>
                <w:sz w:val="22"/>
                <w:szCs w:val="22"/>
                <w:lang w:val="en-US"/>
              </w:rPr>
              <w:t xml:space="preserve"> is observed in the lumen. Portal vein diameter is </w:t>
            </w:r>
            <w:smartTag w:uri="urn:schemas-microsoft-com:office:smarttags" w:element="metricconverter">
              <w:smartTagPr>
                <w:attr w:name="ProductID" w:val="14 mm"/>
              </w:smartTagPr>
              <w:r w:rsidRPr="0080209A">
                <w:rPr>
                  <w:rStyle w:val="FontStyle45"/>
                  <w:spacing w:val="0"/>
                  <w:sz w:val="22"/>
                  <w:szCs w:val="22"/>
                  <w:lang w:val="en-US"/>
                </w:rPr>
                <w:t>14 mm</w:t>
              </w:r>
            </w:smartTag>
            <w:r w:rsidRPr="0080209A">
              <w:rPr>
                <w:rStyle w:val="FontStyle45"/>
                <w:spacing w:val="0"/>
                <w:sz w:val="22"/>
                <w:szCs w:val="22"/>
                <w:lang w:val="en-US"/>
              </w:rPr>
              <w:t xml:space="preserve">. Umbilical vein dilation is </w:t>
            </w:r>
            <w:r w:rsidRPr="0080209A">
              <w:rPr>
                <w:rStyle w:val="FontStyle45"/>
                <w:spacing w:val="0"/>
                <w:sz w:val="22"/>
                <w:szCs w:val="22"/>
                <w:lang w:val="en-GB"/>
              </w:rPr>
              <w:t xml:space="preserve">visualised. The pancreas is not altered. The spleen is 160x90 mm, with </w:t>
            </w:r>
            <w:r w:rsidRPr="0080209A">
              <w:rPr>
                <w:sz w:val="22"/>
                <w:lang w:val="en-GB"/>
              </w:rPr>
              <w:t>homogeneous structure. A small amount of free fluid is observed in the lesser pelvis.</w:t>
            </w:r>
          </w:p>
          <w:p w:rsidR="00175FB9" w:rsidRPr="0080209A" w:rsidRDefault="00175FB9" w:rsidP="0080209A">
            <w:pPr>
              <w:tabs>
                <w:tab w:val="left" w:pos="480"/>
                <w:tab w:val="left" w:pos="4080"/>
              </w:tabs>
              <w:spacing w:before="0" w:after="0"/>
              <w:rPr>
                <w:sz w:val="22"/>
                <w:lang w:val="en-US"/>
              </w:rPr>
            </w:pPr>
            <w:r w:rsidRPr="0080209A">
              <w:rPr>
                <w:sz w:val="22"/>
                <w:lang w:val="en-US"/>
              </w:rPr>
              <w:t xml:space="preserve">06.07.2012 Whole body positron emission tomography: focal </w:t>
            </w:r>
            <w:r w:rsidRPr="0080209A">
              <w:rPr>
                <w:rStyle w:val="FontStyle45"/>
                <w:spacing w:val="0"/>
                <w:sz w:val="22"/>
                <w:szCs w:val="22"/>
                <w:lang w:val="en-US"/>
              </w:rPr>
              <w:t>glucose</w:t>
            </w:r>
            <w:r w:rsidRPr="0080209A">
              <w:rPr>
                <w:sz w:val="22"/>
                <w:lang w:val="en-US"/>
              </w:rPr>
              <w:t xml:space="preserve"> </w:t>
            </w:r>
            <w:proofErr w:type="spellStart"/>
            <w:r w:rsidRPr="0080209A">
              <w:rPr>
                <w:sz w:val="22"/>
                <w:lang w:val="en-US"/>
              </w:rPr>
              <w:t>hypermetabolism</w:t>
            </w:r>
            <w:proofErr w:type="spellEnd"/>
            <w:r w:rsidRPr="0080209A">
              <w:rPr>
                <w:sz w:val="22"/>
                <w:lang w:val="en-US"/>
              </w:rPr>
              <w:t xml:space="preserve"> in the projection of inguinal femoral lymph nodes on the right.</w:t>
            </w:r>
          </w:p>
          <w:p w:rsidR="00175FB9" w:rsidRPr="0080209A" w:rsidRDefault="00175FB9" w:rsidP="0080209A">
            <w:pPr>
              <w:tabs>
                <w:tab w:val="left" w:pos="480"/>
                <w:tab w:val="left" w:pos="4080"/>
              </w:tabs>
              <w:spacing w:before="0" w:after="0"/>
              <w:rPr>
                <w:sz w:val="22"/>
                <w:lang w:val="en-US"/>
              </w:rPr>
            </w:pPr>
            <w:r w:rsidRPr="0080209A">
              <w:rPr>
                <w:sz w:val="22"/>
                <w:lang w:val="en-US"/>
              </w:rPr>
              <w:t>09.07.2012 Chest radiography: chest organs are within the age norm.</w:t>
            </w:r>
          </w:p>
          <w:p w:rsidR="00175FB9" w:rsidRPr="0080209A" w:rsidRDefault="00175FB9" w:rsidP="0080209A">
            <w:pPr>
              <w:spacing w:before="0" w:after="0"/>
              <w:rPr>
                <w:sz w:val="22"/>
                <w:lang w:val="en-US"/>
              </w:rPr>
            </w:pPr>
            <w:r w:rsidRPr="0080209A">
              <w:rPr>
                <w:sz w:val="22"/>
                <w:lang w:val="en-US"/>
              </w:rPr>
              <w:t xml:space="preserve">09.07.2012 Surgery: liver </w:t>
            </w:r>
            <w:proofErr w:type="spellStart"/>
            <w:r w:rsidRPr="0080209A">
              <w:rPr>
                <w:sz w:val="22"/>
                <w:lang w:val="en-GB"/>
              </w:rPr>
              <w:t>chemoembolisation</w:t>
            </w:r>
            <w:proofErr w:type="spellEnd"/>
            <w:r w:rsidRPr="0080209A">
              <w:rPr>
                <w:sz w:val="22"/>
                <w:lang w:val="en-US"/>
              </w:rPr>
              <w:t xml:space="preserve"> with medicinal products. Superior mesenteric arteriography. Celiac angiography. Vascular anatomy variant – left hepatic artery from left gastric artery. Portal vein cavernous transformation and multiple retroperitoneal collaterals (symptom of portal hypertension) are observed. Right hepatic artery </w:t>
            </w:r>
            <w:proofErr w:type="spellStart"/>
            <w:r w:rsidRPr="0080209A">
              <w:rPr>
                <w:sz w:val="22"/>
                <w:lang w:val="en-GB"/>
              </w:rPr>
              <w:t>chemoembolisation</w:t>
            </w:r>
            <w:proofErr w:type="spellEnd"/>
            <w:r w:rsidRPr="0080209A">
              <w:rPr>
                <w:sz w:val="22"/>
                <w:lang w:val="en-US"/>
              </w:rPr>
              <w:t xml:space="preserve"> with 40 mg of doxorubicin and 5 ml of </w:t>
            </w:r>
            <w:proofErr w:type="spellStart"/>
            <w:r w:rsidRPr="0080209A">
              <w:rPr>
                <w:sz w:val="22"/>
                <w:lang w:val="en-US"/>
              </w:rPr>
              <w:t>lipiodol</w:t>
            </w:r>
            <w:proofErr w:type="spellEnd"/>
            <w:r w:rsidRPr="0080209A">
              <w:rPr>
                <w:sz w:val="22"/>
                <w:lang w:val="en-US"/>
              </w:rPr>
              <w:t>.</w:t>
            </w:r>
          </w:p>
        </w:tc>
      </w:tr>
    </w:tbl>
    <w:p w:rsidR="00A35123" w:rsidRPr="0080209A" w:rsidRDefault="00A35123" w:rsidP="0080209A">
      <w:pPr>
        <w:spacing w:before="0" w:after="0"/>
        <w:rPr>
          <w:sz w:val="22"/>
          <w:lang w:val="en-US"/>
        </w:rPr>
      </w:pPr>
    </w:p>
    <w:p w:rsidR="00A35123" w:rsidRPr="0080209A" w:rsidRDefault="00A35123" w:rsidP="0080209A">
      <w:pPr>
        <w:spacing w:before="0" w:after="0"/>
        <w:rPr>
          <w:sz w:val="22"/>
          <w:lang w:val="en-US"/>
        </w:rPr>
      </w:pPr>
      <w:r w:rsidRPr="0080209A">
        <w:rPr>
          <w:sz w:val="22"/>
          <w:lang w:val="en-US"/>
        </w:rPr>
        <w:br w:type="page"/>
      </w:r>
    </w:p>
    <w:tbl>
      <w:tblPr>
        <w:tblStyle w:val="a3"/>
        <w:tblW w:w="0" w:type="auto"/>
        <w:tblInd w:w="108" w:type="dxa"/>
        <w:tblLook w:val="04A0" w:firstRow="1" w:lastRow="0" w:firstColumn="1" w:lastColumn="0" w:noHBand="0" w:noVBand="1"/>
      </w:tblPr>
      <w:tblGrid>
        <w:gridCol w:w="7143"/>
        <w:gridCol w:w="7251"/>
      </w:tblGrid>
      <w:tr w:rsidR="001A3353" w:rsidRPr="0080209A" w:rsidTr="00343DE8">
        <w:tc>
          <w:tcPr>
            <w:tcW w:w="7143" w:type="dxa"/>
          </w:tcPr>
          <w:p w:rsidR="001A3353" w:rsidRPr="0080209A" w:rsidRDefault="001A3353" w:rsidP="0080209A">
            <w:pPr>
              <w:spacing w:before="0" w:after="0"/>
              <w:ind w:firstLine="720"/>
              <w:rPr>
                <w:sz w:val="22"/>
              </w:rPr>
            </w:pPr>
            <w:r w:rsidRPr="0080209A">
              <w:rPr>
                <w:sz w:val="22"/>
              </w:rPr>
              <w:lastRenderedPageBreak/>
              <w:t xml:space="preserve">В период с </w:t>
            </w:r>
            <w:smartTag w:uri="urn:schemas-microsoft-com:office:smarttags" w:element="metricconverter">
              <w:smartTagPr>
                <w:attr w:name="ProductID" w:val="1987 г"/>
              </w:smartTagPr>
              <w:r w:rsidRPr="0080209A">
                <w:rPr>
                  <w:sz w:val="22"/>
                </w:rPr>
                <w:t>1987 г</w:t>
              </w:r>
            </w:smartTag>
            <w:r w:rsidRPr="0080209A">
              <w:rPr>
                <w:sz w:val="22"/>
              </w:rPr>
              <w:t xml:space="preserve">. по </w:t>
            </w:r>
            <w:smartTag w:uri="urn:schemas-microsoft-com:office:smarttags" w:element="metricconverter">
              <w:smartTagPr>
                <w:attr w:name="ProductID" w:val="2009 г"/>
              </w:smartTagPr>
              <w:r w:rsidRPr="0080209A">
                <w:rPr>
                  <w:sz w:val="22"/>
                </w:rPr>
                <w:t>2009 г</w:t>
              </w:r>
            </w:smartTag>
            <w:r w:rsidRPr="0080209A">
              <w:rPr>
                <w:sz w:val="22"/>
              </w:rPr>
              <w:t>. обследовано 2216 человек обоего пола в возрасте от 18 до 60 лет. Обследование проводили в период плановой диспансеризации или во время плановых медицинских осмотров с осознанного согласия обследуемых. Взятие проб крови проводили утром натощак из локтевой вены. Об обеспеченности организма витаминами с</w:t>
            </w:r>
            <w:r w:rsidRPr="0080209A">
              <w:rPr>
                <w:sz w:val="22"/>
              </w:rPr>
              <w:t>у</w:t>
            </w:r>
            <w:r w:rsidRPr="0080209A">
              <w:rPr>
                <w:sz w:val="22"/>
              </w:rPr>
              <w:t>дили по их уровню в сыворотке или плазме крови. Концентрацию витаминов А (</w:t>
            </w:r>
            <w:proofErr w:type="spellStart"/>
            <w:r w:rsidRPr="0080209A">
              <w:rPr>
                <w:sz w:val="22"/>
              </w:rPr>
              <w:t>ретинола</w:t>
            </w:r>
            <w:proofErr w:type="spellEnd"/>
            <w:r w:rsidRPr="0080209A">
              <w:rPr>
                <w:sz w:val="22"/>
              </w:rPr>
              <w:t xml:space="preserve">), Е (суммы </w:t>
            </w:r>
            <w:r w:rsidRPr="0080209A">
              <w:rPr>
                <w:i/>
                <w:sz w:val="22"/>
              </w:rPr>
              <w:t>α</w:t>
            </w:r>
            <w:r w:rsidRPr="0080209A">
              <w:rPr>
                <w:sz w:val="22"/>
              </w:rPr>
              <w:t xml:space="preserve">- и </w:t>
            </w:r>
            <w:r w:rsidRPr="0080209A">
              <w:rPr>
                <w:i/>
                <w:sz w:val="22"/>
              </w:rPr>
              <w:t>γ</w:t>
            </w:r>
            <w:r w:rsidRPr="0080209A">
              <w:rPr>
                <w:sz w:val="22"/>
              </w:rPr>
              <w:t>-токоферолов), В</w:t>
            </w:r>
            <w:r w:rsidRPr="0080209A">
              <w:rPr>
                <w:sz w:val="22"/>
                <w:vertAlign w:val="subscript"/>
              </w:rPr>
              <w:t>6</w:t>
            </w:r>
            <w:r w:rsidRPr="0080209A">
              <w:rPr>
                <w:sz w:val="22"/>
              </w:rPr>
              <w:t xml:space="preserve"> (пиридоксаль-5’-фосфата) определяли с помощью высокоэффекти</w:t>
            </w:r>
            <w:r w:rsidRPr="0080209A">
              <w:rPr>
                <w:sz w:val="22"/>
              </w:rPr>
              <w:t>в</w:t>
            </w:r>
            <w:r w:rsidRPr="0080209A">
              <w:rPr>
                <w:sz w:val="22"/>
              </w:rPr>
              <w:t>ной жидкостной хроматографии, витамина В</w:t>
            </w:r>
            <w:r w:rsidRPr="0080209A">
              <w:rPr>
                <w:sz w:val="22"/>
                <w:vertAlign w:val="subscript"/>
              </w:rPr>
              <w:t>2</w:t>
            </w:r>
            <w:r w:rsidRPr="0080209A">
              <w:rPr>
                <w:sz w:val="22"/>
              </w:rPr>
              <w:t xml:space="preserve"> (рибофлавина) – флуоресцентным методом титрования </w:t>
            </w:r>
            <w:proofErr w:type="spellStart"/>
            <w:r w:rsidRPr="0080209A">
              <w:rPr>
                <w:sz w:val="22"/>
              </w:rPr>
              <w:t>рибофлавинсвязывающим</w:t>
            </w:r>
            <w:proofErr w:type="spellEnd"/>
            <w:r w:rsidRPr="0080209A">
              <w:rPr>
                <w:sz w:val="22"/>
              </w:rPr>
              <w:t xml:space="preserve"> </w:t>
            </w:r>
            <w:proofErr w:type="spellStart"/>
            <w:r w:rsidRPr="0080209A">
              <w:rPr>
                <w:sz w:val="22"/>
              </w:rPr>
              <w:t>апобелком</w:t>
            </w:r>
            <w:proofErr w:type="spellEnd"/>
            <w:r w:rsidRPr="0080209A">
              <w:rPr>
                <w:sz w:val="22"/>
              </w:rPr>
              <w:t>, витамина</w:t>
            </w:r>
            <w:proofErr w:type="gramStart"/>
            <w:r w:rsidRPr="0080209A">
              <w:rPr>
                <w:sz w:val="22"/>
              </w:rPr>
              <w:t xml:space="preserve"> С</w:t>
            </w:r>
            <w:proofErr w:type="gramEnd"/>
            <w:r w:rsidRPr="0080209A">
              <w:rPr>
                <w:sz w:val="22"/>
              </w:rPr>
              <w:t xml:space="preserve"> (аскорбиновой ки</w:t>
            </w:r>
            <w:r w:rsidRPr="0080209A">
              <w:rPr>
                <w:sz w:val="22"/>
              </w:rPr>
              <w:t>с</w:t>
            </w:r>
            <w:r w:rsidRPr="0080209A">
              <w:rPr>
                <w:sz w:val="22"/>
              </w:rPr>
              <w:t>лоты) в свежеполученной сыворотке (плазме) крови – методом визуального титрования ре</w:t>
            </w:r>
            <w:r w:rsidR="0080209A">
              <w:rPr>
                <w:sz w:val="22"/>
              </w:rPr>
              <w:t xml:space="preserve">активом </w:t>
            </w:r>
            <w:proofErr w:type="spellStart"/>
            <w:r w:rsidR="0080209A">
              <w:rPr>
                <w:sz w:val="22"/>
              </w:rPr>
              <w:t>Тильманса</w:t>
            </w:r>
            <w:proofErr w:type="spellEnd"/>
            <w:r w:rsidRPr="0080209A">
              <w:rPr>
                <w:sz w:val="22"/>
              </w:rPr>
              <w:t>. В качестве критериев обеспеченности исследуемыми витаминами использ</w:t>
            </w:r>
            <w:r w:rsidRPr="0080209A">
              <w:rPr>
                <w:sz w:val="22"/>
              </w:rPr>
              <w:t>о</w:t>
            </w:r>
            <w:r w:rsidRPr="0080209A">
              <w:rPr>
                <w:sz w:val="22"/>
              </w:rPr>
              <w:t>вали величины (табл. 1), обоснованные в</w:t>
            </w:r>
            <w:r w:rsidR="0080209A">
              <w:rPr>
                <w:sz w:val="22"/>
              </w:rPr>
              <w:t xml:space="preserve"> наших предыдущих исследованиях</w:t>
            </w:r>
            <w:r w:rsidRPr="0080209A">
              <w:rPr>
                <w:sz w:val="22"/>
              </w:rPr>
              <w:t>. Лиц с показателями, не достигающими нижней границы нормы, считали недостаточно обеспеченными в</w:t>
            </w:r>
            <w:r w:rsidRPr="0080209A">
              <w:rPr>
                <w:sz w:val="22"/>
              </w:rPr>
              <w:t>и</w:t>
            </w:r>
            <w:r w:rsidRPr="0080209A">
              <w:rPr>
                <w:sz w:val="22"/>
              </w:rPr>
              <w:t xml:space="preserve">тамином. </w:t>
            </w:r>
          </w:p>
          <w:p w:rsidR="001A3353" w:rsidRPr="0080209A" w:rsidRDefault="0080209A" w:rsidP="0080209A">
            <w:pPr>
              <w:spacing w:before="0" w:after="0"/>
              <w:rPr>
                <w:sz w:val="22"/>
              </w:rPr>
            </w:pPr>
            <w:r>
              <w:rPr>
                <w:sz w:val="22"/>
              </w:rPr>
              <w:tab/>
            </w:r>
            <w:r w:rsidR="001A3353" w:rsidRPr="0080209A">
              <w:rPr>
                <w:sz w:val="22"/>
              </w:rPr>
              <w:t xml:space="preserve">Полученные данные обрабатывали с помощью статистических пакетов «Статистика». Все исследуемые показатели представлены в виде </w:t>
            </w:r>
            <w:r w:rsidR="001A3353" w:rsidRPr="0080209A">
              <w:rPr>
                <w:sz w:val="22"/>
                <w:lang w:val="en-US"/>
              </w:rPr>
              <w:t>M</w:t>
            </w:r>
            <w:r w:rsidR="001A3353" w:rsidRPr="0080209A">
              <w:rPr>
                <w:sz w:val="22"/>
              </w:rPr>
              <w:t>±</w:t>
            </w:r>
            <w:r w:rsidR="001A3353" w:rsidRPr="0080209A">
              <w:rPr>
                <w:sz w:val="22"/>
                <w:lang w:val="en-US"/>
              </w:rPr>
              <w:t>m</w:t>
            </w:r>
            <w:r w:rsidR="001A3353" w:rsidRPr="0080209A">
              <w:rPr>
                <w:sz w:val="22"/>
              </w:rPr>
              <w:t xml:space="preserve">, </w:t>
            </w:r>
            <w:r w:rsidR="001A3353" w:rsidRPr="0080209A">
              <w:rPr>
                <w:sz w:val="22"/>
                <w:lang w:val="en-US"/>
              </w:rPr>
              <w:t>min</w:t>
            </w:r>
            <w:r w:rsidR="001A3353" w:rsidRPr="0080209A">
              <w:rPr>
                <w:sz w:val="22"/>
              </w:rPr>
              <w:t>-</w:t>
            </w:r>
            <w:r w:rsidR="001A3353" w:rsidRPr="0080209A">
              <w:rPr>
                <w:sz w:val="22"/>
                <w:lang w:val="en-US"/>
              </w:rPr>
              <w:t>max</w:t>
            </w:r>
            <w:r w:rsidR="001A3353" w:rsidRPr="0080209A">
              <w:rPr>
                <w:sz w:val="22"/>
              </w:rPr>
              <w:t xml:space="preserve"> (минимальное – макс</w:t>
            </w:r>
            <w:r w:rsidR="001A3353" w:rsidRPr="0080209A">
              <w:rPr>
                <w:sz w:val="22"/>
              </w:rPr>
              <w:t>и</w:t>
            </w:r>
            <w:r w:rsidR="001A3353" w:rsidRPr="0080209A">
              <w:rPr>
                <w:sz w:val="22"/>
              </w:rPr>
              <w:t xml:space="preserve">мальное значение), медианы и </w:t>
            </w:r>
            <w:proofErr w:type="spellStart"/>
            <w:r w:rsidR="001A3353" w:rsidRPr="0080209A">
              <w:rPr>
                <w:sz w:val="22"/>
              </w:rPr>
              <w:t>процентилей</w:t>
            </w:r>
            <w:proofErr w:type="spellEnd"/>
            <w:r w:rsidR="001A3353" w:rsidRPr="0080209A">
              <w:rPr>
                <w:sz w:val="22"/>
              </w:rPr>
              <w:t xml:space="preserve">. Достоверность разности средних значений и выборочных долей проводили по </w:t>
            </w:r>
            <w:r w:rsidR="001A3353" w:rsidRPr="0080209A">
              <w:rPr>
                <w:sz w:val="22"/>
                <w:lang w:val="en-US"/>
              </w:rPr>
              <w:t>t</w:t>
            </w:r>
            <w:r w:rsidR="001A3353" w:rsidRPr="0080209A">
              <w:rPr>
                <w:sz w:val="22"/>
              </w:rPr>
              <w:t>-критерию Стьюдента. Различия между анализиру</w:t>
            </w:r>
            <w:r w:rsidR="001A3353" w:rsidRPr="0080209A">
              <w:rPr>
                <w:sz w:val="22"/>
              </w:rPr>
              <w:t>е</w:t>
            </w:r>
            <w:r w:rsidR="001A3353" w:rsidRPr="0080209A">
              <w:rPr>
                <w:sz w:val="22"/>
              </w:rPr>
              <w:t>мыми показателями считали достоверными при двустороннем уровне значим</w:t>
            </w:r>
            <w:r w:rsidR="001A3353" w:rsidRPr="0080209A">
              <w:rPr>
                <w:sz w:val="22"/>
              </w:rPr>
              <w:t>о</w:t>
            </w:r>
            <w:r w:rsidR="001A3353" w:rsidRPr="0080209A">
              <w:rPr>
                <w:sz w:val="22"/>
              </w:rPr>
              <w:t xml:space="preserve">сти </w:t>
            </w:r>
            <w:proofErr w:type="gramStart"/>
            <w:r w:rsidR="001A3353" w:rsidRPr="0080209A">
              <w:rPr>
                <w:sz w:val="22"/>
              </w:rPr>
              <w:t>р</w:t>
            </w:r>
            <w:proofErr w:type="gramEnd"/>
            <w:r w:rsidR="001A3353" w:rsidRPr="0080209A">
              <w:rPr>
                <w:sz w:val="22"/>
              </w:rPr>
              <w:t>≤0,05.</w:t>
            </w:r>
          </w:p>
        </w:tc>
        <w:tc>
          <w:tcPr>
            <w:tcW w:w="7251" w:type="dxa"/>
          </w:tcPr>
          <w:p w:rsidR="0080209A" w:rsidRDefault="0080209A" w:rsidP="0080209A">
            <w:pPr>
              <w:spacing w:before="0" w:after="0"/>
              <w:ind w:firstLine="720"/>
              <w:rPr>
                <w:sz w:val="22"/>
              </w:rPr>
            </w:pPr>
            <w:r w:rsidRPr="0080209A">
              <w:rPr>
                <w:sz w:val="22"/>
                <w:lang w:val="en-US"/>
              </w:rPr>
              <w:t xml:space="preserve">The study was carried out in 2216 men and women aged between 18 and 60 years during the period since 1987 until 2009. Analyses were performed during scheduled health survey or scheduled medical examinations with written informed consent of the participants. </w:t>
            </w:r>
            <w:r w:rsidRPr="0080209A">
              <w:rPr>
                <w:sz w:val="22"/>
                <w:lang w:val="en-GB"/>
              </w:rPr>
              <w:t>Fasting</w:t>
            </w:r>
            <w:r w:rsidRPr="0080209A">
              <w:rPr>
                <w:sz w:val="22"/>
                <w:lang w:val="en-US"/>
              </w:rPr>
              <w:t xml:space="preserve"> </w:t>
            </w:r>
            <w:r w:rsidRPr="0080209A">
              <w:rPr>
                <w:sz w:val="22"/>
                <w:lang w:val="en-GB"/>
              </w:rPr>
              <w:t xml:space="preserve">blood samples were obtained from </w:t>
            </w:r>
            <w:r w:rsidRPr="0080209A">
              <w:rPr>
                <w:sz w:val="22"/>
                <w:lang w:val="en-US"/>
              </w:rPr>
              <w:t xml:space="preserve">median </w:t>
            </w:r>
            <w:proofErr w:type="spellStart"/>
            <w:r w:rsidRPr="0080209A">
              <w:rPr>
                <w:sz w:val="22"/>
                <w:lang w:val="en-US"/>
              </w:rPr>
              <w:t>cubital</w:t>
            </w:r>
            <w:proofErr w:type="spellEnd"/>
            <w:r w:rsidRPr="0080209A">
              <w:rPr>
                <w:sz w:val="22"/>
                <w:lang w:val="en-US"/>
              </w:rPr>
              <w:t xml:space="preserve"> vein in the morning. Vitamins sufficiency was evalua</w:t>
            </w:r>
            <w:r w:rsidRPr="0080209A">
              <w:rPr>
                <w:sz w:val="22"/>
                <w:lang w:val="en-US"/>
              </w:rPr>
              <w:t>t</w:t>
            </w:r>
            <w:r w:rsidRPr="0080209A">
              <w:rPr>
                <w:sz w:val="22"/>
                <w:lang w:val="en-US"/>
              </w:rPr>
              <w:t xml:space="preserve">ed on the basis of vitamins plasma (serum) levels. Vitamins </w:t>
            </w:r>
            <w:r w:rsidRPr="0080209A">
              <w:rPr>
                <w:sz w:val="22"/>
              </w:rPr>
              <w:t>А</w:t>
            </w:r>
            <w:r w:rsidRPr="0080209A">
              <w:rPr>
                <w:sz w:val="22"/>
                <w:lang w:val="en-US"/>
              </w:rPr>
              <w:t xml:space="preserve"> (retinol), </w:t>
            </w:r>
            <w:r w:rsidRPr="0080209A">
              <w:rPr>
                <w:sz w:val="22"/>
              </w:rPr>
              <w:t>Е</w:t>
            </w:r>
            <w:r w:rsidRPr="0080209A">
              <w:rPr>
                <w:sz w:val="22"/>
                <w:lang w:val="en-US"/>
              </w:rPr>
              <w:t xml:space="preserve"> (</w:t>
            </w:r>
            <w:r w:rsidRPr="0080209A">
              <w:rPr>
                <w:i/>
                <w:sz w:val="22"/>
              </w:rPr>
              <w:t>α</w:t>
            </w:r>
            <w:r w:rsidRPr="0080209A">
              <w:rPr>
                <w:sz w:val="22"/>
                <w:lang w:val="en-US"/>
              </w:rPr>
              <w:t xml:space="preserve">- and </w:t>
            </w:r>
            <w:r w:rsidRPr="0080209A">
              <w:rPr>
                <w:i/>
                <w:sz w:val="22"/>
              </w:rPr>
              <w:t>γ</w:t>
            </w:r>
            <w:r w:rsidRPr="0080209A">
              <w:rPr>
                <w:sz w:val="22"/>
                <w:lang w:val="en-US"/>
              </w:rPr>
              <w:t>-</w:t>
            </w:r>
            <w:proofErr w:type="spellStart"/>
            <w:r w:rsidRPr="0080209A">
              <w:rPr>
                <w:sz w:val="22"/>
                <w:lang w:val="en-US"/>
              </w:rPr>
              <w:t>tocopherols</w:t>
            </w:r>
            <w:proofErr w:type="spellEnd"/>
            <w:r w:rsidRPr="0080209A">
              <w:rPr>
                <w:sz w:val="22"/>
                <w:lang w:val="en-US"/>
              </w:rPr>
              <w:t xml:space="preserve">) and </w:t>
            </w:r>
            <w:r w:rsidRPr="0080209A">
              <w:rPr>
                <w:sz w:val="22"/>
              </w:rPr>
              <w:t>В</w:t>
            </w:r>
            <w:r w:rsidRPr="0080209A">
              <w:rPr>
                <w:sz w:val="22"/>
                <w:vertAlign w:val="subscript"/>
                <w:lang w:val="en-US"/>
              </w:rPr>
              <w:t>6</w:t>
            </w:r>
            <w:r w:rsidRPr="0080209A">
              <w:rPr>
                <w:sz w:val="22"/>
                <w:lang w:val="en-US"/>
              </w:rPr>
              <w:t xml:space="preserve"> (pyridoxal-5’-phosphate) concentrations were measured by high-performance liquid chr</w:t>
            </w:r>
            <w:r w:rsidRPr="0080209A">
              <w:rPr>
                <w:sz w:val="22"/>
                <w:lang w:val="en-US"/>
              </w:rPr>
              <w:t>o</w:t>
            </w:r>
            <w:r w:rsidRPr="0080209A">
              <w:rPr>
                <w:sz w:val="22"/>
                <w:lang w:val="en-US"/>
              </w:rPr>
              <w:t xml:space="preserve">matography, vitamin </w:t>
            </w:r>
            <w:r w:rsidRPr="0080209A">
              <w:rPr>
                <w:sz w:val="22"/>
              </w:rPr>
              <w:t>В</w:t>
            </w:r>
            <w:r w:rsidRPr="0080209A">
              <w:rPr>
                <w:sz w:val="22"/>
                <w:vertAlign w:val="subscript"/>
                <w:lang w:val="en-US"/>
              </w:rPr>
              <w:t>2</w:t>
            </w:r>
            <w:r w:rsidRPr="0080209A">
              <w:rPr>
                <w:sz w:val="22"/>
                <w:lang w:val="en-US"/>
              </w:rPr>
              <w:t xml:space="preserve"> (riboflavin) content was detected by </w:t>
            </w:r>
            <w:proofErr w:type="spellStart"/>
            <w:r w:rsidRPr="0080209A">
              <w:rPr>
                <w:sz w:val="22"/>
                <w:lang w:val="en-US"/>
              </w:rPr>
              <w:t>fluorometric</w:t>
            </w:r>
            <w:proofErr w:type="spellEnd"/>
            <w:r w:rsidRPr="0080209A">
              <w:rPr>
                <w:sz w:val="22"/>
                <w:lang w:val="en-US"/>
              </w:rPr>
              <w:t xml:space="preserve"> titration with riboflavin-binding </w:t>
            </w:r>
            <w:proofErr w:type="spellStart"/>
            <w:r w:rsidRPr="0080209A">
              <w:rPr>
                <w:sz w:val="22"/>
                <w:lang w:val="en-US"/>
              </w:rPr>
              <w:t>ap</w:t>
            </w:r>
            <w:r w:rsidRPr="0080209A">
              <w:rPr>
                <w:sz w:val="22"/>
                <w:lang w:val="en-US"/>
              </w:rPr>
              <w:t>o</w:t>
            </w:r>
            <w:r w:rsidRPr="0080209A">
              <w:rPr>
                <w:sz w:val="22"/>
                <w:lang w:val="en-US"/>
              </w:rPr>
              <w:t>protein</w:t>
            </w:r>
            <w:proofErr w:type="spellEnd"/>
            <w:r w:rsidRPr="0080209A">
              <w:rPr>
                <w:sz w:val="22"/>
                <w:lang w:val="en-US"/>
              </w:rPr>
              <w:t>, vitamin C (ascorbic acid) was determined in fresh serum (plasma) samples by visual ti</w:t>
            </w:r>
            <w:r>
              <w:rPr>
                <w:sz w:val="22"/>
                <w:lang w:val="en-US"/>
              </w:rPr>
              <w:t xml:space="preserve">tration with </w:t>
            </w:r>
            <w:proofErr w:type="spellStart"/>
            <w:r>
              <w:rPr>
                <w:sz w:val="22"/>
                <w:lang w:val="en-US"/>
              </w:rPr>
              <w:t>Tillmans</w:t>
            </w:r>
            <w:proofErr w:type="spellEnd"/>
            <w:r>
              <w:rPr>
                <w:sz w:val="22"/>
                <w:lang w:val="en-US"/>
              </w:rPr>
              <w:t xml:space="preserve"> reagent</w:t>
            </w:r>
            <w:r w:rsidRPr="0080209A">
              <w:rPr>
                <w:sz w:val="22"/>
                <w:lang w:val="en-US"/>
              </w:rPr>
              <w:t xml:space="preserve">. </w:t>
            </w:r>
            <w:proofErr w:type="gramStart"/>
            <w:r w:rsidRPr="0080209A">
              <w:rPr>
                <w:sz w:val="22"/>
                <w:lang w:val="en-US"/>
              </w:rPr>
              <w:t>Reference values (Table 1), substantiated in our previous stu</w:t>
            </w:r>
            <w:r w:rsidRPr="0080209A">
              <w:rPr>
                <w:sz w:val="22"/>
                <w:lang w:val="en-US"/>
              </w:rPr>
              <w:t>d</w:t>
            </w:r>
            <w:r w:rsidRPr="0080209A">
              <w:rPr>
                <w:sz w:val="22"/>
                <w:lang w:val="en-US"/>
              </w:rPr>
              <w:t>ies, were</w:t>
            </w:r>
            <w:proofErr w:type="gramEnd"/>
            <w:r w:rsidRPr="0080209A">
              <w:rPr>
                <w:sz w:val="22"/>
                <w:lang w:val="en-US"/>
              </w:rPr>
              <w:t xml:space="preserve"> used as criteria for sufficiency assessment of </w:t>
            </w:r>
            <w:r w:rsidRPr="0080209A">
              <w:rPr>
                <w:sz w:val="22"/>
                <w:lang w:val="en-GB"/>
              </w:rPr>
              <w:t>analysed</w:t>
            </w:r>
            <w:r>
              <w:rPr>
                <w:sz w:val="22"/>
                <w:lang w:val="en-US"/>
              </w:rPr>
              <w:t xml:space="preserve"> vitamins</w:t>
            </w:r>
            <w:r w:rsidRPr="0080209A">
              <w:rPr>
                <w:sz w:val="22"/>
                <w:lang w:val="en-US"/>
              </w:rPr>
              <w:t>. Participants with values below LLN were d</w:t>
            </w:r>
            <w:r w:rsidRPr="0080209A">
              <w:rPr>
                <w:sz w:val="22"/>
                <w:lang w:val="en-US"/>
              </w:rPr>
              <w:t>e</w:t>
            </w:r>
            <w:r w:rsidRPr="0080209A">
              <w:rPr>
                <w:sz w:val="22"/>
                <w:lang w:val="en-US"/>
              </w:rPr>
              <w:t>fined as suffering from vitamin insufficiency.</w:t>
            </w:r>
          </w:p>
          <w:p w:rsidR="0080209A" w:rsidRDefault="0080209A" w:rsidP="0080209A">
            <w:pPr>
              <w:spacing w:before="0" w:after="0"/>
              <w:ind w:firstLine="720"/>
              <w:rPr>
                <w:sz w:val="22"/>
              </w:rPr>
            </w:pPr>
          </w:p>
          <w:p w:rsidR="0080209A" w:rsidRDefault="0080209A" w:rsidP="0080209A">
            <w:pPr>
              <w:spacing w:before="0" w:after="0"/>
              <w:ind w:firstLine="720"/>
              <w:rPr>
                <w:sz w:val="22"/>
              </w:rPr>
            </w:pPr>
          </w:p>
          <w:p w:rsidR="0080209A" w:rsidRPr="0080209A" w:rsidRDefault="0080209A" w:rsidP="0080209A">
            <w:pPr>
              <w:spacing w:before="0" w:after="0"/>
              <w:ind w:firstLine="720"/>
              <w:rPr>
                <w:sz w:val="22"/>
              </w:rPr>
            </w:pPr>
          </w:p>
          <w:p w:rsidR="001A3353" w:rsidRPr="0080209A" w:rsidRDefault="0080209A" w:rsidP="0080209A">
            <w:pPr>
              <w:pStyle w:val="a6"/>
              <w:spacing w:line="240" w:lineRule="auto"/>
              <w:ind w:right="-56"/>
              <w:rPr>
                <w:sz w:val="22"/>
                <w:szCs w:val="22"/>
                <w:lang w:val="en-US"/>
              </w:rPr>
            </w:pPr>
            <w:r w:rsidRPr="0080209A">
              <w:rPr>
                <w:sz w:val="22"/>
                <w:szCs w:val="22"/>
                <w:lang w:val="en-US"/>
              </w:rPr>
              <w:t xml:space="preserve">Obtained data were </w:t>
            </w:r>
            <w:r w:rsidRPr="0080209A">
              <w:rPr>
                <w:sz w:val="22"/>
                <w:szCs w:val="22"/>
                <w:lang w:val="en-GB"/>
              </w:rPr>
              <w:t>analysed</w:t>
            </w:r>
            <w:r w:rsidRPr="0080209A">
              <w:rPr>
                <w:sz w:val="22"/>
                <w:szCs w:val="22"/>
                <w:lang w:val="en-US"/>
              </w:rPr>
              <w:t xml:space="preserve"> using </w:t>
            </w:r>
            <w:r w:rsidRPr="0080209A">
              <w:rPr>
                <w:sz w:val="22"/>
                <w:szCs w:val="22"/>
                <w:lang w:val="en-GB"/>
              </w:rPr>
              <w:t>statistical</w:t>
            </w:r>
            <w:r w:rsidRPr="0080209A">
              <w:rPr>
                <w:sz w:val="22"/>
                <w:szCs w:val="22"/>
                <w:lang w:val="en-US"/>
              </w:rPr>
              <w:t xml:space="preserve"> </w:t>
            </w:r>
            <w:r w:rsidRPr="0080209A">
              <w:rPr>
                <w:sz w:val="22"/>
                <w:szCs w:val="22"/>
                <w:lang w:val="en-GB"/>
              </w:rPr>
              <w:t>analysis software “</w:t>
            </w:r>
            <w:proofErr w:type="spellStart"/>
            <w:r w:rsidRPr="0080209A">
              <w:rPr>
                <w:sz w:val="22"/>
                <w:szCs w:val="22"/>
                <w:lang w:val="en-US"/>
              </w:rPr>
              <w:t>Statistica</w:t>
            </w:r>
            <w:proofErr w:type="spellEnd"/>
            <w:r w:rsidRPr="0080209A">
              <w:rPr>
                <w:sz w:val="22"/>
                <w:szCs w:val="22"/>
                <w:lang w:val="en-GB"/>
              </w:rPr>
              <w:t>”. All analysed p</w:t>
            </w:r>
            <w:r w:rsidRPr="0080209A">
              <w:rPr>
                <w:sz w:val="22"/>
                <w:szCs w:val="22"/>
                <w:lang w:val="en-GB"/>
              </w:rPr>
              <w:t>a</w:t>
            </w:r>
            <w:r w:rsidRPr="0080209A">
              <w:rPr>
                <w:sz w:val="22"/>
                <w:szCs w:val="22"/>
                <w:lang w:val="en-GB"/>
              </w:rPr>
              <w:t>rameters are given as</w:t>
            </w:r>
            <w:r w:rsidRPr="0080209A">
              <w:rPr>
                <w:sz w:val="22"/>
                <w:szCs w:val="22"/>
                <w:lang w:val="en-US"/>
              </w:rPr>
              <w:t xml:space="preserve"> </w:t>
            </w:r>
            <w:proofErr w:type="spellStart"/>
            <w:r w:rsidRPr="0080209A">
              <w:rPr>
                <w:sz w:val="22"/>
                <w:szCs w:val="22"/>
                <w:lang w:val="en-US"/>
              </w:rPr>
              <w:t>M±m</w:t>
            </w:r>
            <w:proofErr w:type="spellEnd"/>
            <w:r w:rsidRPr="0080209A">
              <w:rPr>
                <w:sz w:val="22"/>
                <w:szCs w:val="22"/>
                <w:lang w:val="en-GB"/>
              </w:rPr>
              <w:t>, min-max (minimum – maximum values)</w:t>
            </w:r>
            <w:r w:rsidRPr="0080209A">
              <w:rPr>
                <w:sz w:val="22"/>
                <w:szCs w:val="22"/>
                <w:lang w:val="en-US"/>
              </w:rPr>
              <w:t xml:space="preserve">, </w:t>
            </w:r>
            <w:r w:rsidRPr="0080209A">
              <w:rPr>
                <w:sz w:val="22"/>
                <w:szCs w:val="22"/>
                <w:lang w:val="en-GB"/>
              </w:rPr>
              <w:t>medians and percentiles</w:t>
            </w:r>
            <w:r w:rsidRPr="0080209A">
              <w:rPr>
                <w:sz w:val="22"/>
                <w:szCs w:val="22"/>
                <w:lang w:val="en-US"/>
              </w:rPr>
              <w:t xml:space="preserve">. </w:t>
            </w:r>
            <w:r w:rsidRPr="0080209A">
              <w:rPr>
                <w:sz w:val="22"/>
                <w:szCs w:val="22"/>
                <w:lang w:val="en-GB"/>
              </w:rPr>
              <w:t>Si</w:t>
            </w:r>
            <w:r w:rsidRPr="0080209A">
              <w:rPr>
                <w:sz w:val="22"/>
                <w:szCs w:val="22"/>
                <w:lang w:val="en-GB"/>
              </w:rPr>
              <w:t>g</w:t>
            </w:r>
            <w:r w:rsidRPr="0080209A">
              <w:rPr>
                <w:sz w:val="22"/>
                <w:szCs w:val="22"/>
                <w:lang w:val="en-GB"/>
              </w:rPr>
              <w:t>nificant differences between mean values and sampling ratio were d</w:t>
            </w:r>
            <w:r w:rsidRPr="0080209A">
              <w:rPr>
                <w:sz w:val="22"/>
                <w:szCs w:val="22"/>
                <w:lang w:val="en-GB"/>
              </w:rPr>
              <w:t>e</w:t>
            </w:r>
            <w:r w:rsidRPr="0080209A">
              <w:rPr>
                <w:sz w:val="22"/>
                <w:szCs w:val="22"/>
                <w:lang w:val="en-GB"/>
              </w:rPr>
              <w:t xml:space="preserve">termined with </w:t>
            </w:r>
            <w:r w:rsidRPr="0080209A">
              <w:rPr>
                <w:sz w:val="22"/>
                <w:szCs w:val="22"/>
                <w:lang w:val="en-US"/>
              </w:rPr>
              <w:t>t</w:t>
            </w:r>
            <w:r w:rsidRPr="0080209A">
              <w:rPr>
                <w:sz w:val="22"/>
                <w:szCs w:val="22"/>
                <w:lang w:val="en-GB"/>
              </w:rPr>
              <w:t>-Student test</w:t>
            </w:r>
            <w:r w:rsidRPr="0080209A">
              <w:rPr>
                <w:sz w:val="22"/>
                <w:szCs w:val="22"/>
                <w:lang w:val="en-US"/>
              </w:rPr>
              <w:t xml:space="preserve">. </w:t>
            </w:r>
            <w:r w:rsidRPr="0080209A">
              <w:rPr>
                <w:sz w:val="22"/>
                <w:szCs w:val="22"/>
                <w:lang w:val="en-GB"/>
              </w:rPr>
              <w:t>Differences between analysed p</w:t>
            </w:r>
            <w:r w:rsidRPr="0080209A">
              <w:rPr>
                <w:sz w:val="22"/>
                <w:szCs w:val="22"/>
                <w:lang w:val="en-GB"/>
              </w:rPr>
              <w:t>a</w:t>
            </w:r>
            <w:r w:rsidRPr="0080209A">
              <w:rPr>
                <w:sz w:val="22"/>
                <w:szCs w:val="22"/>
                <w:lang w:val="en-GB"/>
              </w:rPr>
              <w:t xml:space="preserve">rameters were deemed significant at two-tailed significance level </w:t>
            </w:r>
            <w:r w:rsidRPr="0080209A">
              <w:rPr>
                <w:sz w:val="22"/>
                <w:szCs w:val="22"/>
              </w:rPr>
              <w:t>р</w:t>
            </w:r>
            <w:r w:rsidRPr="0080209A">
              <w:rPr>
                <w:sz w:val="22"/>
                <w:szCs w:val="22"/>
                <w:lang w:val="en-US"/>
              </w:rPr>
              <w:t>≤0.05.</w:t>
            </w:r>
          </w:p>
        </w:tc>
      </w:tr>
    </w:tbl>
    <w:p w:rsidR="00175FB9" w:rsidRPr="0080209A" w:rsidRDefault="00175FB9" w:rsidP="0080209A">
      <w:pPr>
        <w:spacing w:before="0" w:after="0"/>
        <w:rPr>
          <w:sz w:val="22"/>
          <w:lang w:val="en-US"/>
        </w:rPr>
      </w:pPr>
      <w:bookmarkStart w:id="0" w:name="_GoBack"/>
      <w:bookmarkEnd w:id="0"/>
    </w:p>
    <w:sectPr w:rsidR="00175FB9" w:rsidRPr="0080209A" w:rsidSect="0019128A">
      <w:pgSz w:w="16838" w:h="11906" w:orient="landscape"/>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D3"/>
    <w:rsid w:val="00175FB9"/>
    <w:rsid w:val="0019128A"/>
    <w:rsid w:val="001A3353"/>
    <w:rsid w:val="002F573B"/>
    <w:rsid w:val="00762E20"/>
    <w:rsid w:val="00792AA7"/>
    <w:rsid w:val="0080209A"/>
    <w:rsid w:val="00894379"/>
    <w:rsid w:val="009B40DD"/>
    <w:rsid w:val="00A00EF8"/>
    <w:rsid w:val="00A35123"/>
    <w:rsid w:val="00A75A1E"/>
    <w:rsid w:val="00DD06D3"/>
    <w:rsid w:val="00EA0B4E"/>
    <w:rsid w:val="00F35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28A"/>
    <w:pPr>
      <w:spacing w:before="120" w:after="120"/>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3"/>
    <w:rsid w:val="00894379"/>
    <w:rPr>
      <w:rFonts w:ascii="Times New Roman" w:eastAsia="Times New Roman" w:hAnsi="Times New Roman" w:cs="Times New Roman"/>
      <w:shd w:val="clear" w:color="auto" w:fill="FFFFFF"/>
    </w:rPr>
  </w:style>
  <w:style w:type="character" w:customStyle="1" w:styleId="105pt">
    <w:name w:val="Основной текст + 10;5 pt"/>
    <w:basedOn w:val="a4"/>
    <w:rsid w:val="00894379"/>
    <w:rPr>
      <w:rFonts w:ascii="Times New Roman" w:eastAsia="Times New Roman" w:hAnsi="Times New Roman" w:cs="Times New Roman"/>
      <w:sz w:val="21"/>
      <w:szCs w:val="21"/>
      <w:shd w:val="clear" w:color="auto" w:fill="FFFFFF"/>
    </w:rPr>
  </w:style>
  <w:style w:type="character" w:customStyle="1" w:styleId="a5">
    <w:name w:val="Основной текст + Полужирный;Курсив"/>
    <w:basedOn w:val="a4"/>
    <w:rsid w:val="00894379"/>
    <w:rPr>
      <w:rFonts w:ascii="Times New Roman" w:eastAsia="Times New Roman" w:hAnsi="Times New Roman" w:cs="Times New Roman"/>
      <w:b/>
      <w:bCs/>
      <w:i/>
      <w:iCs/>
      <w:shd w:val="clear" w:color="auto" w:fill="FFFFFF"/>
    </w:rPr>
  </w:style>
  <w:style w:type="character" w:customStyle="1" w:styleId="Candara105pt">
    <w:name w:val="Основной текст + Candara;10;5 pt"/>
    <w:basedOn w:val="a4"/>
    <w:rsid w:val="00894379"/>
    <w:rPr>
      <w:rFonts w:ascii="Candara" w:eastAsia="Candara" w:hAnsi="Candara" w:cs="Candara"/>
      <w:sz w:val="21"/>
      <w:szCs w:val="21"/>
      <w:shd w:val="clear" w:color="auto" w:fill="FFFFFF"/>
    </w:rPr>
  </w:style>
  <w:style w:type="paragraph" w:customStyle="1" w:styleId="3">
    <w:name w:val="Основной текст3"/>
    <w:basedOn w:val="a"/>
    <w:link w:val="a4"/>
    <w:rsid w:val="00894379"/>
    <w:pPr>
      <w:shd w:val="clear" w:color="auto" w:fill="FFFFFF"/>
      <w:spacing w:before="0" w:after="0" w:line="410" w:lineRule="exact"/>
      <w:ind w:hanging="340"/>
      <w:jc w:val="left"/>
    </w:pPr>
    <w:rPr>
      <w:rFonts w:eastAsia="Times New Roman"/>
      <w:sz w:val="22"/>
    </w:rPr>
  </w:style>
  <w:style w:type="paragraph" w:customStyle="1" w:styleId="Style2">
    <w:name w:val="Style2"/>
    <w:basedOn w:val="a"/>
    <w:uiPriority w:val="99"/>
    <w:rsid w:val="00175FB9"/>
    <w:pPr>
      <w:widowControl w:val="0"/>
      <w:autoSpaceDE w:val="0"/>
      <w:autoSpaceDN w:val="0"/>
      <w:adjustRightInd w:val="0"/>
      <w:spacing w:before="0" w:after="0"/>
      <w:jc w:val="left"/>
    </w:pPr>
    <w:rPr>
      <w:rFonts w:eastAsia="Times New Roman"/>
      <w:szCs w:val="24"/>
      <w:lang w:eastAsia="ru-RU"/>
    </w:rPr>
  </w:style>
  <w:style w:type="paragraph" w:customStyle="1" w:styleId="Style20">
    <w:name w:val="Style20"/>
    <w:basedOn w:val="a"/>
    <w:uiPriority w:val="99"/>
    <w:rsid w:val="00175FB9"/>
    <w:pPr>
      <w:widowControl w:val="0"/>
      <w:autoSpaceDE w:val="0"/>
      <w:autoSpaceDN w:val="0"/>
      <w:adjustRightInd w:val="0"/>
      <w:spacing w:before="0" w:after="0"/>
      <w:jc w:val="left"/>
    </w:pPr>
    <w:rPr>
      <w:rFonts w:eastAsia="Times New Roman"/>
      <w:szCs w:val="24"/>
      <w:lang w:eastAsia="ru-RU"/>
    </w:rPr>
  </w:style>
  <w:style w:type="character" w:customStyle="1" w:styleId="FontStyle45">
    <w:name w:val="Font Style45"/>
    <w:basedOn w:val="a0"/>
    <w:rsid w:val="00175FB9"/>
    <w:rPr>
      <w:rFonts w:ascii="Times New Roman" w:hAnsi="Times New Roman" w:cs="Times New Roman"/>
      <w:color w:val="000000"/>
      <w:spacing w:val="10"/>
      <w:sz w:val="18"/>
      <w:szCs w:val="18"/>
    </w:rPr>
  </w:style>
  <w:style w:type="paragraph" w:styleId="a6">
    <w:name w:val="Body Text Indent"/>
    <w:basedOn w:val="a"/>
    <w:link w:val="a7"/>
    <w:rsid w:val="0080209A"/>
    <w:pPr>
      <w:spacing w:before="0" w:after="0" w:line="360" w:lineRule="auto"/>
      <w:ind w:right="-170" w:firstLine="709"/>
    </w:pPr>
    <w:rPr>
      <w:rFonts w:eastAsia="Times New Roman"/>
      <w:sz w:val="28"/>
      <w:szCs w:val="20"/>
      <w:lang w:eastAsia="ru-RU"/>
    </w:rPr>
  </w:style>
  <w:style w:type="character" w:customStyle="1" w:styleId="a7">
    <w:name w:val="Основной текст с отступом Знак"/>
    <w:basedOn w:val="a0"/>
    <w:link w:val="a6"/>
    <w:rsid w:val="0080209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28A"/>
    <w:pPr>
      <w:spacing w:before="120" w:after="120"/>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3"/>
    <w:rsid w:val="00894379"/>
    <w:rPr>
      <w:rFonts w:ascii="Times New Roman" w:eastAsia="Times New Roman" w:hAnsi="Times New Roman" w:cs="Times New Roman"/>
      <w:shd w:val="clear" w:color="auto" w:fill="FFFFFF"/>
    </w:rPr>
  </w:style>
  <w:style w:type="character" w:customStyle="1" w:styleId="105pt">
    <w:name w:val="Основной текст + 10;5 pt"/>
    <w:basedOn w:val="a4"/>
    <w:rsid w:val="00894379"/>
    <w:rPr>
      <w:rFonts w:ascii="Times New Roman" w:eastAsia="Times New Roman" w:hAnsi="Times New Roman" w:cs="Times New Roman"/>
      <w:sz w:val="21"/>
      <w:szCs w:val="21"/>
      <w:shd w:val="clear" w:color="auto" w:fill="FFFFFF"/>
    </w:rPr>
  </w:style>
  <w:style w:type="character" w:customStyle="1" w:styleId="a5">
    <w:name w:val="Основной текст + Полужирный;Курсив"/>
    <w:basedOn w:val="a4"/>
    <w:rsid w:val="00894379"/>
    <w:rPr>
      <w:rFonts w:ascii="Times New Roman" w:eastAsia="Times New Roman" w:hAnsi="Times New Roman" w:cs="Times New Roman"/>
      <w:b/>
      <w:bCs/>
      <w:i/>
      <w:iCs/>
      <w:shd w:val="clear" w:color="auto" w:fill="FFFFFF"/>
    </w:rPr>
  </w:style>
  <w:style w:type="character" w:customStyle="1" w:styleId="Candara105pt">
    <w:name w:val="Основной текст + Candara;10;5 pt"/>
    <w:basedOn w:val="a4"/>
    <w:rsid w:val="00894379"/>
    <w:rPr>
      <w:rFonts w:ascii="Candara" w:eastAsia="Candara" w:hAnsi="Candara" w:cs="Candara"/>
      <w:sz w:val="21"/>
      <w:szCs w:val="21"/>
      <w:shd w:val="clear" w:color="auto" w:fill="FFFFFF"/>
    </w:rPr>
  </w:style>
  <w:style w:type="paragraph" w:customStyle="1" w:styleId="3">
    <w:name w:val="Основной текст3"/>
    <w:basedOn w:val="a"/>
    <w:link w:val="a4"/>
    <w:rsid w:val="00894379"/>
    <w:pPr>
      <w:shd w:val="clear" w:color="auto" w:fill="FFFFFF"/>
      <w:spacing w:before="0" w:after="0" w:line="410" w:lineRule="exact"/>
      <w:ind w:hanging="340"/>
      <w:jc w:val="left"/>
    </w:pPr>
    <w:rPr>
      <w:rFonts w:eastAsia="Times New Roman"/>
      <w:sz w:val="22"/>
    </w:rPr>
  </w:style>
  <w:style w:type="paragraph" w:customStyle="1" w:styleId="Style2">
    <w:name w:val="Style2"/>
    <w:basedOn w:val="a"/>
    <w:uiPriority w:val="99"/>
    <w:rsid w:val="00175FB9"/>
    <w:pPr>
      <w:widowControl w:val="0"/>
      <w:autoSpaceDE w:val="0"/>
      <w:autoSpaceDN w:val="0"/>
      <w:adjustRightInd w:val="0"/>
      <w:spacing w:before="0" w:after="0"/>
      <w:jc w:val="left"/>
    </w:pPr>
    <w:rPr>
      <w:rFonts w:eastAsia="Times New Roman"/>
      <w:szCs w:val="24"/>
      <w:lang w:eastAsia="ru-RU"/>
    </w:rPr>
  </w:style>
  <w:style w:type="paragraph" w:customStyle="1" w:styleId="Style20">
    <w:name w:val="Style20"/>
    <w:basedOn w:val="a"/>
    <w:uiPriority w:val="99"/>
    <w:rsid w:val="00175FB9"/>
    <w:pPr>
      <w:widowControl w:val="0"/>
      <w:autoSpaceDE w:val="0"/>
      <w:autoSpaceDN w:val="0"/>
      <w:adjustRightInd w:val="0"/>
      <w:spacing w:before="0" w:after="0"/>
      <w:jc w:val="left"/>
    </w:pPr>
    <w:rPr>
      <w:rFonts w:eastAsia="Times New Roman"/>
      <w:szCs w:val="24"/>
      <w:lang w:eastAsia="ru-RU"/>
    </w:rPr>
  </w:style>
  <w:style w:type="character" w:customStyle="1" w:styleId="FontStyle45">
    <w:name w:val="Font Style45"/>
    <w:basedOn w:val="a0"/>
    <w:rsid w:val="00175FB9"/>
    <w:rPr>
      <w:rFonts w:ascii="Times New Roman" w:hAnsi="Times New Roman" w:cs="Times New Roman"/>
      <w:color w:val="000000"/>
      <w:spacing w:val="10"/>
      <w:sz w:val="18"/>
      <w:szCs w:val="18"/>
    </w:rPr>
  </w:style>
  <w:style w:type="paragraph" w:styleId="a6">
    <w:name w:val="Body Text Indent"/>
    <w:basedOn w:val="a"/>
    <w:link w:val="a7"/>
    <w:rsid w:val="0080209A"/>
    <w:pPr>
      <w:spacing w:before="0" w:after="0" w:line="360" w:lineRule="auto"/>
      <w:ind w:right="-170" w:firstLine="709"/>
    </w:pPr>
    <w:rPr>
      <w:rFonts w:eastAsia="Times New Roman"/>
      <w:sz w:val="28"/>
      <w:szCs w:val="20"/>
      <w:lang w:eastAsia="ru-RU"/>
    </w:rPr>
  </w:style>
  <w:style w:type="character" w:customStyle="1" w:styleId="a7">
    <w:name w:val="Основной текст с отступом Знак"/>
    <w:basedOn w:val="a0"/>
    <w:link w:val="a6"/>
    <w:rsid w:val="0080209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1613</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rkt.by</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2016-05-06T08:55:00Z</dcterms:created>
  <dcterms:modified xsi:type="dcterms:W3CDTF">2016-05-06T09:18:00Z</dcterms:modified>
</cp:coreProperties>
</file>